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EDITAL DE PREGÃO ELETRÔNICO</w:t>
      </w:r>
    </w:p>
    <w:p w:rsidR="002C0C87" w:rsidRDefault="006D2EFC">
      <w:pPr>
        <w:jc w:val="center"/>
        <w:rPr>
          <w:color w:val="000000"/>
        </w:rPr>
      </w:pPr>
      <w:r>
        <w:rPr>
          <w:rFonts w:ascii="Times New Roman" w:hAnsi="Times New Roman" w:cs="Times New Roman"/>
          <w:b/>
          <w:sz w:val="22"/>
          <w:szCs w:val="22"/>
        </w:rPr>
        <w:t xml:space="preserve">Instituto Federal de Educação, Ciência e Tecnologia do Mato Grosso do Sul – </w:t>
      </w:r>
      <w:proofErr w:type="gramStart"/>
      <w:r>
        <w:rPr>
          <w:rFonts w:ascii="Times New Roman" w:hAnsi="Times New Roman" w:cs="Times New Roman"/>
          <w:b/>
          <w:sz w:val="22"/>
          <w:szCs w:val="22"/>
        </w:rPr>
        <w:t>IFMS</w:t>
      </w:r>
      <w:proofErr w:type="gramEnd"/>
    </w:p>
    <w:p w:rsidR="002C0C87" w:rsidRDefault="006D2EFC">
      <w:pPr>
        <w:jc w:val="center"/>
        <w:rPr>
          <w:color w:val="000000"/>
        </w:rPr>
      </w:pPr>
      <w:r>
        <w:rPr>
          <w:rFonts w:ascii="Times New Roman" w:hAnsi="Times New Roman" w:cs="Times New Roman"/>
          <w:b/>
          <w:sz w:val="22"/>
          <w:szCs w:val="22"/>
        </w:rPr>
        <w:t xml:space="preserve">PREGÃO ELETRÔNICO Nº </w:t>
      </w:r>
      <w:r w:rsidR="00A63B87">
        <w:rPr>
          <w:rFonts w:ascii="Times New Roman" w:hAnsi="Times New Roman" w:cs="Times New Roman"/>
          <w:b/>
          <w:sz w:val="22"/>
          <w:szCs w:val="22"/>
        </w:rPr>
        <w:t>16</w:t>
      </w:r>
      <w:r>
        <w:rPr>
          <w:rFonts w:ascii="Times New Roman" w:hAnsi="Times New Roman" w:cs="Times New Roman"/>
          <w:b/>
          <w:sz w:val="22"/>
          <w:szCs w:val="22"/>
        </w:rPr>
        <w:t>/2022</w:t>
      </w:r>
    </w:p>
    <w:p w:rsidR="002C0C87" w:rsidRDefault="006D2EFC">
      <w:pPr>
        <w:jc w:val="center"/>
        <w:rPr>
          <w:color w:val="000000"/>
        </w:rPr>
      </w:pPr>
      <w:r>
        <w:rPr>
          <w:rFonts w:ascii="Times New Roman" w:hAnsi="Times New Roman" w:cs="Times New Roman"/>
          <w:b/>
          <w:sz w:val="22"/>
          <w:szCs w:val="22"/>
        </w:rPr>
        <w:t>(Processo Administrativo n.°.23347.007072.2021-03)</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ind w:left="1361"/>
        <w:jc w:val="both"/>
        <w:rPr>
          <w:rFonts w:ascii="Times New Roman" w:hAnsi="Times New Roman" w:cs="Times New Roman"/>
          <w:sz w:val="22"/>
          <w:szCs w:val="22"/>
        </w:rPr>
      </w:pPr>
      <w:r>
        <w:rPr>
          <w:rFonts w:ascii="Times New Roman" w:hAnsi="Times New Roman" w:cs="Times New Roman"/>
          <w:sz w:val="22"/>
          <w:szCs w:val="22"/>
        </w:rPr>
        <w:t xml:space="preserve">Torna-se público que </w:t>
      </w:r>
      <w:proofErr w:type="gramStart"/>
      <w:r>
        <w:rPr>
          <w:rFonts w:ascii="Times New Roman" w:hAnsi="Times New Roman" w:cs="Times New Roman"/>
          <w:sz w:val="22"/>
          <w:szCs w:val="22"/>
        </w:rPr>
        <w:t>o(</w:t>
      </w:r>
      <w:proofErr w:type="gramEnd"/>
      <w:r>
        <w:rPr>
          <w:rFonts w:ascii="Times New Roman" w:hAnsi="Times New Roman" w:cs="Times New Roman"/>
          <w:sz w:val="22"/>
          <w:szCs w:val="22"/>
        </w:rPr>
        <w:t xml:space="preserve">a) INSTITUTO FEDERAL DO MATO GROSSO DO SUL por meio do(a) Diretoria de Compras, Licitações e Contratos, sediado(a) na Rua Jornalista Belizário de Lima, 236 - Vila Gloria,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realizará licitação, na modalidade PREGÃO, na forma ELETRÔNICA, sob a forma de execução indireta, nos termos da Lei nº 10.520, de 17 de julho de 2002, do Decreto nº 10.024, de 20 de setembro de 2019, do Decreto 9.507, de 21 de setembro de 2018, do Decreto nº 7.746, de 05 de junho de 2012,  das Instruções Normativas SEGES/MP nº 05, de 26 de maio de 2017 e nº 03, de 26 de abril de 2018 e da Instrução Normativa SLTI/MP nº 01, de 19 de janeiro de 2010, da Lei Complementar n° 123, de 14 de dezembro de 2006, do Decreto n° 8.538, de 06 de outubro de 2015, aplicando-se, subsidiariamente, a Lei nº 8.666, de 21 de junho de 1993 e as exigências estabelecidas neste Edital.</w:t>
      </w:r>
    </w:p>
    <w:p w:rsidR="002C0C87" w:rsidRDefault="002C0C87">
      <w:pPr>
        <w:jc w:val="both"/>
        <w:rPr>
          <w:rFonts w:ascii="Times New Roman" w:hAnsi="Times New Roman" w:cs="Times New Roman"/>
          <w:sz w:val="22"/>
          <w:szCs w:val="22"/>
        </w:rPr>
      </w:pPr>
    </w:p>
    <w:p w:rsidR="002C0C87" w:rsidRDefault="006D2EFC">
      <w:pPr>
        <w:jc w:val="both"/>
        <w:rPr>
          <w:b/>
          <w:color w:val="000000"/>
        </w:rPr>
      </w:pPr>
      <w:r>
        <w:rPr>
          <w:rFonts w:ascii="Times New Roman" w:hAnsi="Times New Roman" w:cs="Times New Roman"/>
          <w:b/>
          <w:sz w:val="22"/>
          <w:szCs w:val="22"/>
        </w:rPr>
        <w:t xml:space="preserve">Data da sessão: </w:t>
      </w:r>
      <w:r w:rsidR="008813A8">
        <w:rPr>
          <w:rFonts w:ascii="Times New Roman" w:hAnsi="Times New Roman" w:cs="Times New Roman"/>
          <w:b/>
          <w:sz w:val="22"/>
          <w:szCs w:val="22"/>
        </w:rPr>
        <w:t>06</w:t>
      </w:r>
      <w:bookmarkStart w:id="0" w:name="_GoBack"/>
      <w:bookmarkEnd w:id="0"/>
      <w:r>
        <w:rPr>
          <w:rFonts w:ascii="Times New Roman" w:hAnsi="Times New Roman" w:cs="Times New Roman"/>
          <w:b/>
          <w:sz w:val="22"/>
          <w:szCs w:val="22"/>
        </w:rPr>
        <w:t>/0</w:t>
      </w:r>
      <w:r w:rsidR="008813A8">
        <w:rPr>
          <w:rFonts w:ascii="Times New Roman" w:hAnsi="Times New Roman" w:cs="Times New Roman"/>
          <w:b/>
          <w:sz w:val="22"/>
          <w:szCs w:val="22"/>
        </w:rPr>
        <w:t>7</w:t>
      </w:r>
      <w:r>
        <w:rPr>
          <w:rFonts w:ascii="Times New Roman" w:hAnsi="Times New Roman" w:cs="Times New Roman"/>
          <w:b/>
          <w:sz w:val="22"/>
          <w:szCs w:val="22"/>
        </w:rPr>
        <w:t>/2022</w:t>
      </w:r>
    </w:p>
    <w:p w:rsidR="002C0C87" w:rsidRDefault="006D2EFC">
      <w:pPr>
        <w:jc w:val="both"/>
        <w:rPr>
          <w:b/>
          <w:color w:val="000000"/>
        </w:rPr>
      </w:pPr>
      <w:r>
        <w:rPr>
          <w:rFonts w:ascii="Times New Roman" w:hAnsi="Times New Roman" w:cs="Times New Roman"/>
          <w:b/>
          <w:sz w:val="22"/>
          <w:szCs w:val="22"/>
        </w:rPr>
        <w:t xml:space="preserve">Horário: </w:t>
      </w:r>
      <w:proofErr w:type="gramStart"/>
      <w:r>
        <w:rPr>
          <w:rFonts w:ascii="Times New Roman" w:hAnsi="Times New Roman" w:cs="Times New Roman"/>
          <w:b/>
          <w:sz w:val="22"/>
          <w:szCs w:val="22"/>
        </w:rPr>
        <w:t>10:00</w:t>
      </w:r>
      <w:proofErr w:type="gramEnd"/>
      <w:r>
        <w:rPr>
          <w:rFonts w:ascii="Times New Roman" w:hAnsi="Times New Roman" w:cs="Times New Roman"/>
          <w:b/>
          <w:sz w:val="22"/>
          <w:szCs w:val="22"/>
        </w:rPr>
        <w:t xml:space="preserve"> (horário de Brasília)</w:t>
      </w:r>
    </w:p>
    <w:p w:rsidR="002C0C87" w:rsidRDefault="006D2EFC">
      <w:pPr>
        <w:jc w:val="both"/>
      </w:pPr>
      <w:r>
        <w:rPr>
          <w:rFonts w:ascii="Times New Roman" w:hAnsi="Times New Roman" w:cs="Times New Roman"/>
          <w:sz w:val="22"/>
          <w:szCs w:val="22"/>
        </w:rPr>
        <w:t xml:space="preserve">Local: Portal de Compras do Governo Federal – </w:t>
      </w:r>
      <w:hyperlink r:id="rId9">
        <w:r>
          <w:rPr>
            <w:rFonts w:ascii="Times New Roman" w:hAnsi="Times New Roman" w:cs="Times New Roman"/>
            <w:color w:val="000080"/>
            <w:sz w:val="22"/>
            <w:szCs w:val="22"/>
            <w:u w:val="single"/>
          </w:rPr>
          <w:t>https://www.gov.br/compras/pt-br</w:t>
        </w:r>
      </w:hyperlink>
    </w:p>
    <w:p w:rsidR="002C0C87" w:rsidRDefault="006D2EFC">
      <w:pPr>
        <w:jc w:val="both"/>
        <w:rPr>
          <w:color w:val="000000"/>
        </w:rPr>
      </w:pPr>
      <w:r>
        <w:rPr>
          <w:rFonts w:ascii="Times New Roman" w:hAnsi="Times New Roman" w:cs="Times New Roman"/>
          <w:b/>
          <w:sz w:val="22"/>
          <w:szCs w:val="22"/>
        </w:rPr>
        <w:t>Critério de Julgamento: maior desconto por item.</w:t>
      </w:r>
    </w:p>
    <w:p w:rsidR="002C0C87" w:rsidRDefault="006D2EFC">
      <w:pPr>
        <w:jc w:val="both"/>
        <w:rPr>
          <w:rFonts w:ascii="Times New Roman" w:hAnsi="Times New Roman" w:cs="Times New Roman"/>
          <w:sz w:val="22"/>
          <w:szCs w:val="22"/>
        </w:rPr>
      </w:pPr>
      <w:r>
        <w:rPr>
          <w:rFonts w:ascii="Times New Roman" w:hAnsi="Times New Roman" w:cs="Times New Roman"/>
          <w:sz w:val="22"/>
          <w:szCs w:val="22"/>
        </w:rPr>
        <w:t>Regime de Execução: Empreitada por Preço Unitário.</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 OBJETO</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ind w:left="0" w:firstLine="0"/>
        <w:jc w:val="both"/>
      </w:pPr>
      <w:r>
        <w:rPr>
          <w:rFonts w:ascii="Times New Roman" w:hAnsi="Times New Roman" w:cs="Times New Roman"/>
          <w:sz w:val="22"/>
          <w:szCs w:val="22"/>
        </w:rPr>
        <w:t>O objeto da presente licitação é a escolha da proposta mais vantajosa para a Concessão administrativa onerosa de uso de espaço físico edificado e não edificado para exploração comercial de serviços de alimentação, por meio da disponibilização de lanchonete, nos Campi do Instituto Federal de Mato Grosso do Sul nos municípios de Aquidauana, Corumbá, Campo Grande, Dourados, Jardim e Nova Andradina, voltados para o fornecimento de lanches para a comunidade acadêmica, servidores e transeuntes, conforme condições, quantidades e exigências estabelecidas neste Edital e seus anexos.</w:t>
      </w:r>
    </w:p>
    <w:p w:rsidR="002C0C87" w:rsidRDefault="006D2EFC">
      <w:pPr>
        <w:numPr>
          <w:ilvl w:val="1"/>
          <w:numId w:val="3"/>
        </w:numPr>
        <w:ind w:left="0" w:firstLine="0"/>
        <w:jc w:val="both"/>
        <w:rPr>
          <w:color w:val="000000"/>
        </w:rPr>
      </w:pPr>
      <w:r>
        <w:rPr>
          <w:rFonts w:ascii="Times New Roman" w:hAnsi="Times New Roman" w:cs="Times New Roman"/>
          <w:sz w:val="22"/>
          <w:szCs w:val="22"/>
        </w:rPr>
        <w:t xml:space="preserve">A licitação será dividida em itens, conforme tabela constante do Termo de Referência, facultando-se ao licitante a participação em quantos itens </w:t>
      </w:r>
      <w:proofErr w:type="gramStart"/>
      <w:r>
        <w:rPr>
          <w:rFonts w:ascii="Times New Roman" w:hAnsi="Times New Roman" w:cs="Times New Roman"/>
          <w:sz w:val="22"/>
          <w:szCs w:val="22"/>
        </w:rPr>
        <w:t>forem</w:t>
      </w:r>
      <w:proofErr w:type="gramEnd"/>
      <w:r>
        <w:rPr>
          <w:rFonts w:ascii="Times New Roman" w:hAnsi="Times New Roman" w:cs="Times New Roman"/>
          <w:sz w:val="22"/>
          <w:szCs w:val="22"/>
        </w:rPr>
        <w:t xml:space="preserve"> de seu interesse.</w:t>
      </w:r>
    </w:p>
    <w:p w:rsidR="002C0C87" w:rsidRDefault="006D2EFC">
      <w:pPr>
        <w:numPr>
          <w:ilvl w:val="1"/>
          <w:numId w:val="3"/>
        </w:numPr>
        <w:ind w:left="0" w:firstLine="0"/>
        <w:jc w:val="both"/>
        <w:rPr>
          <w:rFonts w:ascii="Times New Roman" w:hAnsi="Times New Roman" w:cs="Times New Roman"/>
          <w:sz w:val="22"/>
          <w:szCs w:val="22"/>
        </w:rPr>
      </w:pPr>
      <w:r>
        <w:rPr>
          <w:rFonts w:ascii="Times New Roman" w:hAnsi="Times New Roman" w:cs="Times New Roman"/>
          <w:sz w:val="22"/>
          <w:szCs w:val="22"/>
        </w:rPr>
        <w:t>O critério de julgamento adotado será o menor preço/maior desconto do item, observadas as exigências contidas neste Edital e seus Anexos quanto às especificações do objeto.</w:t>
      </w:r>
    </w:p>
    <w:p w:rsidR="002C0C87" w:rsidRDefault="002C0C87">
      <w:pPr>
        <w:ind w:left="432"/>
        <w:jc w:val="both"/>
        <w:rPr>
          <w:color w:val="000000"/>
        </w:rPr>
      </w:pPr>
    </w:p>
    <w:p w:rsidR="002C0C87" w:rsidRDefault="002C0C87">
      <w:pPr>
        <w:ind w:left="432"/>
        <w:jc w:val="both"/>
        <w:rPr>
          <w:color w:val="000000"/>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DOS RECURSOS ORÇAMENTÁRIOS</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ind w:left="0" w:firstLine="0"/>
        <w:jc w:val="both"/>
      </w:pPr>
      <w:r>
        <w:rPr>
          <w:rFonts w:ascii="Times New Roman" w:hAnsi="Times New Roman" w:cs="Times New Roman"/>
          <w:sz w:val="22"/>
          <w:szCs w:val="22"/>
        </w:rPr>
        <w:t>A presente licitação não gerará despesas à Administração</w:t>
      </w:r>
      <w:proofErr w:type="gramStart"/>
      <w:r>
        <w:rPr>
          <w:rFonts w:ascii="Times New Roman" w:hAnsi="Times New Roman" w:cs="Times New Roman"/>
          <w:sz w:val="22"/>
          <w:szCs w:val="22"/>
        </w:rPr>
        <w:t xml:space="preserve"> pois</w:t>
      </w:r>
      <w:proofErr w:type="gramEnd"/>
      <w:r>
        <w:rPr>
          <w:rFonts w:ascii="Times New Roman" w:hAnsi="Times New Roman" w:cs="Times New Roman"/>
          <w:sz w:val="22"/>
          <w:szCs w:val="22"/>
        </w:rPr>
        <w:t>, a concessão será onerosa para a contratada e o recolhimento se dará via GRU - Guia de recolhimento da União</w:t>
      </w:r>
      <w:r>
        <w:rPr>
          <w:rFonts w:ascii="Times New Roman" w:hAnsi="Times New Roman" w:cs="Times New Roman"/>
          <w:color w:val="000080"/>
          <w:sz w:val="22"/>
          <w:szCs w:val="22"/>
        </w:rPr>
        <w:t>.</w:t>
      </w:r>
    </w:p>
    <w:p w:rsidR="002C0C87" w:rsidRDefault="002C0C87">
      <w:pPr>
        <w:ind w:left="432"/>
        <w:jc w:val="both"/>
        <w:rPr>
          <w:rFonts w:ascii="Times New Roman" w:hAnsi="Times New Roman" w:cs="Times New Roman"/>
          <w:color w:val="000080"/>
          <w:sz w:val="22"/>
          <w:szCs w:val="22"/>
          <w:u w:val="single"/>
        </w:rPr>
      </w:pP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 CREDENCIAMENTO</w:t>
      </w:r>
    </w:p>
    <w:p w:rsidR="002C0C87" w:rsidRDefault="002C0C87">
      <w:pPr>
        <w:ind w:left="360"/>
        <w:jc w:val="both"/>
        <w:rPr>
          <w:rFonts w:ascii="Times New Roman" w:hAnsi="Times New Roman" w:cs="Times New Roman"/>
          <w:b/>
          <w:sz w:val="22"/>
          <w:szCs w:val="22"/>
        </w:rPr>
      </w:pPr>
    </w:p>
    <w:p w:rsidR="002C0C87" w:rsidRDefault="006D2EFC">
      <w:pPr>
        <w:numPr>
          <w:ilvl w:val="1"/>
          <w:numId w:val="3"/>
        </w:numPr>
        <w:ind w:left="0" w:firstLine="0"/>
        <w:jc w:val="both"/>
        <w:rPr>
          <w:color w:val="000000"/>
        </w:rPr>
      </w:pPr>
      <w:r>
        <w:rPr>
          <w:rFonts w:ascii="Times New Roman" w:hAnsi="Times New Roman" w:cs="Times New Roman"/>
          <w:sz w:val="22"/>
          <w:szCs w:val="22"/>
        </w:rPr>
        <w:t>O Credenciamento é o nível básico do registro cadastral no SICAF, que permite a participação dos interessados na modalidade licitatória Pregão, em sua forma eletrônica.</w:t>
      </w:r>
    </w:p>
    <w:p w:rsidR="002C0C87" w:rsidRDefault="006D2EFC">
      <w:pPr>
        <w:numPr>
          <w:ilvl w:val="1"/>
          <w:numId w:val="3"/>
        </w:numPr>
        <w:ind w:left="0" w:firstLine="0"/>
        <w:jc w:val="both"/>
      </w:pPr>
      <w:r>
        <w:rPr>
          <w:rFonts w:ascii="Times New Roman" w:hAnsi="Times New Roman" w:cs="Times New Roman"/>
          <w:sz w:val="22"/>
          <w:szCs w:val="22"/>
        </w:rPr>
        <w:lastRenderedPageBreak/>
        <w:t xml:space="preserve">O cadastro no SICAF deverá ser feito no Portal de Compras do Governo Federal, no sítio </w:t>
      </w:r>
      <w:hyperlink r:id="rId10">
        <w:r>
          <w:rPr>
            <w:rFonts w:ascii="Times New Roman" w:hAnsi="Times New Roman" w:cs="Times New Roman"/>
            <w:color w:val="000080"/>
            <w:sz w:val="22"/>
            <w:szCs w:val="22"/>
            <w:u w:val="single"/>
          </w:rPr>
          <w:t>https://www.gov.br/compras/pt-br/</w:t>
        </w:r>
      </w:hyperlink>
      <w:r>
        <w:rPr>
          <w:rFonts w:ascii="Times New Roman" w:hAnsi="Times New Roman" w:cs="Times New Roman"/>
          <w:sz w:val="22"/>
          <w:szCs w:val="22"/>
        </w:rPr>
        <w:t xml:space="preserve"> por meio de certificado digital conferido pela Infraestrutura de Chaves </w:t>
      </w:r>
      <w:proofErr w:type="gramStart"/>
      <w:r>
        <w:rPr>
          <w:rFonts w:ascii="Times New Roman" w:hAnsi="Times New Roman" w:cs="Times New Roman"/>
          <w:sz w:val="22"/>
          <w:szCs w:val="22"/>
        </w:rPr>
        <w:t>Públicas Brasileira</w:t>
      </w:r>
      <w:proofErr w:type="gramEnd"/>
      <w:r>
        <w:rPr>
          <w:rFonts w:ascii="Times New Roman" w:hAnsi="Times New Roman" w:cs="Times New Roman"/>
          <w:sz w:val="22"/>
          <w:szCs w:val="22"/>
        </w:rPr>
        <w:t xml:space="preserve"> – ICP - Brasil.</w:t>
      </w:r>
    </w:p>
    <w:p w:rsidR="002C0C87" w:rsidRDefault="006D2EFC">
      <w:pPr>
        <w:numPr>
          <w:ilvl w:val="1"/>
          <w:numId w:val="3"/>
        </w:numPr>
        <w:ind w:left="0" w:firstLine="0"/>
        <w:jc w:val="both"/>
        <w:rPr>
          <w:color w:val="000000"/>
        </w:rPr>
      </w:pPr>
      <w:r>
        <w:rPr>
          <w:rFonts w:ascii="Times New Roman" w:hAnsi="Times New Roman" w:cs="Times New Roman"/>
          <w:sz w:val="22"/>
          <w:szCs w:val="22"/>
        </w:rPr>
        <w:t>O credenciamento junto ao provedor do sistema implica a responsabilidade do licitante ou de seu representante legal e a presunção de sua capacidade técnica para realização das transações inerentes a este Pregão.</w:t>
      </w:r>
    </w:p>
    <w:p w:rsidR="002C0C87" w:rsidRDefault="006D2EFC">
      <w:pPr>
        <w:numPr>
          <w:ilvl w:val="1"/>
          <w:numId w:val="3"/>
        </w:numPr>
        <w:ind w:left="0" w:firstLine="0"/>
        <w:jc w:val="both"/>
        <w:rPr>
          <w:color w:val="000000"/>
        </w:rPr>
      </w:pPr>
      <w:r>
        <w:rPr>
          <w:rFonts w:ascii="Times New Roman" w:hAnsi="Times New Roman" w:cs="Times New Roman"/>
          <w:sz w:val="22"/>
          <w:szCs w:val="22"/>
        </w:rPr>
        <w:t xml:space="preserve">O licitante responsabiliza-se exclusiva e formalmente pelas transações efetuadas em seu nome, assume como firmes e verdadeiras suas propostas e seus lances, inclusive os atos </w:t>
      </w:r>
      <w:proofErr w:type="gramStart"/>
      <w:r>
        <w:rPr>
          <w:rFonts w:ascii="Times New Roman" w:hAnsi="Times New Roman" w:cs="Times New Roman"/>
          <w:sz w:val="22"/>
          <w:szCs w:val="22"/>
        </w:rPr>
        <w:t>praticados diretamente ou por seu representante, excluída</w:t>
      </w:r>
      <w:proofErr w:type="gramEnd"/>
      <w:r>
        <w:rPr>
          <w:rFonts w:ascii="Times New Roman" w:hAnsi="Times New Roman" w:cs="Times New Roman"/>
          <w:sz w:val="22"/>
          <w:szCs w:val="22"/>
        </w:rPr>
        <w:t xml:space="preserve"> a responsabilidade do provedor do sistema ou do órgão ou entidade promotora da licitação por eventuais danos decorrentes de uso indevido das credenciais de acesso, ainda que por terceiros</w:t>
      </w:r>
    </w:p>
    <w:p w:rsidR="002C0C87" w:rsidRDefault="006D2EFC">
      <w:pPr>
        <w:numPr>
          <w:ilvl w:val="1"/>
          <w:numId w:val="3"/>
        </w:numPr>
        <w:ind w:left="0" w:firstLine="0"/>
        <w:jc w:val="both"/>
        <w:rPr>
          <w:color w:val="000000"/>
        </w:rPr>
      </w:pPr>
      <w:r>
        <w:rPr>
          <w:rFonts w:ascii="Times New Roman" w:hAnsi="Times New Roman" w:cs="Times New Roman"/>
          <w:sz w:val="22"/>
          <w:szCs w:val="22"/>
        </w:rPr>
        <w:t xml:space="preserve">É de responsabilidade </w:t>
      </w:r>
      <w:proofErr w:type="gramStart"/>
      <w:r>
        <w:rPr>
          <w:rFonts w:ascii="Times New Roman" w:hAnsi="Times New Roman" w:cs="Times New Roman"/>
          <w:sz w:val="22"/>
          <w:szCs w:val="22"/>
        </w:rPr>
        <w:t>do cadastrado conferir</w:t>
      </w:r>
      <w:proofErr w:type="gramEnd"/>
      <w:r>
        <w:rPr>
          <w:rFonts w:ascii="Times New Roman" w:hAnsi="Times New Roman" w:cs="Times New Roman"/>
          <w:sz w:val="22"/>
          <w:szCs w:val="22"/>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2C0C87" w:rsidRDefault="006D2EFC">
      <w:pPr>
        <w:numPr>
          <w:ilvl w:val="2"/>
          <w:numId w:val="3"/>
        </w:numPr>
        <w:ind w:left="567" w:firstLine="0"/>
        <w:jc w:val="both"/>
      </w:pPr>
      <w:r>
        <w:rPr>
          <w:rFonts w:ascii="Times New Roman" w:hAnsi="Times New Roman" w:cs="Times New Roman"/>
          <w:sz w:val="22"/>
          <w:szCs w:val="22"/>
        </w:rPr>
        <w:t>A não observância do disposto no subitem anterior poderá ensejar desclassificação no momento da habilitação</w:t>
      </w:r>
      <w:r>
        <w:rPr>
          <w:rFonts w:ascii="Times New Roman" w:hAnsi="Times New Roman" w:cs="Times New Roman"/>
          <w:color w:val="000000"/>
          <w:sz w:val="22"/>
          <w:szCs w:val="22"/>
        </w:rPr>
        <w:t>.</w:t>
      </w:r>
    </w:p>
    <w:p w:rsidR="002C0C87" w:rsidRDefault="002C0C87">
      <w:pPr>
        <w:ind w:left="1922"/>
        <w:jc w:val="both"/>
        <w:rPr>
          <w:color w:val="000000"/>
        </w:rPr>
      </w:pPr>
    </w:p>
    <w:p w:rsidR="002C0C87" w:rsidRDefault="002C0C87">
      <w:pPr>
        <w:ind w:left="1922"/>
        <w:jc w:val="both"/>
        <w:rPr>
          <w:color w:val="000000"/>
        </w:rPr>
      </w:pPr>
    </w:p>
    <w:p w:rsidR="002C0C87" w:rsidRDefault="002C0C87">
      <w:pPr>
        <w:ind w:left="1922"/>
        <w:jc w:val="both"/>
        <w:rPr>
          <w:rFonts w:ascii="Times New Roman" w:hAnsi="Times New Roman" w:cs="Times New Roman"/>
          <w:sz w:val="22"/>
          <w:szCs w:val="22"/>
        </w:rPr>
      </w:pPr>
    </w:p>
    <w:p w:rsidR="002C0C87" w:rsidRDefault="006D2EFC">
      <w:pPr>
        <w:numPr>
          <w:ilvl w:val="0"/>
          <w:numId w:val="3"/>
        </w:numPr>
        <w:jc w:val="both"/>
      </w:pPr>
      <w:r>
        <w:rPr>
          <w:rFonts w:ascii="Times New Roman" w:hAnsi="Times New Roman" w:cs="Times New Roman"/>
          <w:b/>
          <w:sz w:val="22"/>
          <w:szCs w:val="22"/>
        </w:rPr>
        <w:t>DA PARTICIPAÇÃO NO PREGÃO</w:t>
      </w:r>
    </w:p>
    <w:p w:rsidR="002C0C87" w:rsidRDefault="002C0C87">
      <w:pPr>
        <w:ind w:left="360"/>
        <w:jc w:val="both"/>
        <w:rPr>
          <w:rFonts w:ascii="Times New Roman" w:hAnsi="Times New Roman" w:cs="Times New Roman"/>
          <w:b/>
          <w:sz w:val="22"/>
          <w:szCs w:val="22"/>
        </w:rPr>
      </w:pPr>
    </w:p>
    <w:p w:rsidR="002C0C87" w:rsidRDefault="006D2EFC">
      <w:pPr>
        <w:numPr>
          <w:ilvl w:val="1"/>
          <w:numId w:val="3"/>
        </w:numPr>
        <w:jc w:val="both"/>
      </w:pPr>
      <w:r>
        <w:rPr>
          <w:rFonts w:ascii="Times New Roman" w:hAnsi="Times New Roman" w:cs="Times New Roman"/>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2C0C87" w:rsidRDefault="006D2EFC">
      <w:pPr>
        <w:numPr>
          <w:ilvl w:val="2"/>
          <w:numId w:val="3"/>
        </w:numPr>
        <w:ind w:left="567" w:firstLine="0"/>
        <w:jc w:val="both"/>
        <w:rPr>
          <w:color w:val="000000"/>
        </w:rPr>
      </w:pPr>
      <w:r>
        <w:rPr>
          <w:rFonts w:ascii="Times New Roman" w:hAnsi="Times New Roman" w:cs="Times New Roman"/>
          <w:sz w:val="22"/>
          <w:szCs w:val="22"/>
        </w:rPr>
        <w:t>Os licitantes deverão utilizar o certificado digital para acesso ao Sistema</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Para todos os itens, a participação é </w:t>
      </w:r>
      <w:proofErr w:type="gramStart"/>
      <w:r>
        <w:rPr>
          <w:rFonts w:ascii="Times New Roman" w:hAnsi="Times New Roman" w:cs="Times New Roman"/>
          <w:sz w:val="22"/>
          <w:szCs w:val="22"/>
        </w:rPr>
        <w:t>exclusiva a microempresas e empresas de pequeno porte, nos termos do art. 48 da Lei Complementar nº</w:t>
      </w:r>
      <w:proofErr w:type="gramEnd"/>
      <w:r>
        <w:rPr>
          <w:rFonts w:ascii="Times New Roman" w:hAnsi="Times New Roman" w:cs="Times New Roman"/>
          <w:sz w:val="22"/>
          <w:szCs w:val="22"/>
        </w:rPr>
        <w:t xml:space="preserve"> 123, de 14 de dezembro de 2006.</w:t>
      </w:r>
    </w:p>
    <w:p w:rsidR="002C0C87" w:rsidRDefault="006D2EFC">
      <w:pPr>
        <w:numPr>
          <w:ilvl w:val="2"/>
          <w:numId w:val="3"/>
        </w:numPr>
        <w:ind w:left="567" w:firstLine="0"/>
        <w:jc w:val="both"/>
        <w:rPr>
          <w:color w:val="000000"/>
        </w:rPr>
      </w:pPr>
      <w:r>
        <w:rPr>
          <w:rFonts w:ascii="Times New Roman" w:hAnsi="Times New Roman" w:cs="Times New Roman"/>
          <w:sz w:val="22"/>
          <w:szCs w:val="22"/>
        </w:rPr>
        <w:t>Será concedido tratamento favorecido para as microempresas e empresas de pequeno porte, mencionadas no artigo 34 da Lei nº 11.488, de 2007, para o agricultor familiar, o produtor rural pessoa física e para o microempreendedor individual - MEI, nos limites previstos da Lei Complementar nº 123, de 2006.</w:t>
      </w:r>
    </w:p>
    <w:p w:rsidR="002C0C87" w:rsidRDefault="006D2EFC">
      <w:pPr>
        <w:numPr>
          <w:ilvl w:val="1"/>
          <w:numId w:val="3"/>
        </w:numPr>
        <w:jc w:val="both"/>
        <w:rPr>
          <w:color w:val="000000"/>
        </w:rPr>
      </w:pPr>
      <w:r>
        <w:rPr>
          <w:rFonts w:ascii="Times New Roman" w:hAnsi="Times New Roman" w:cs="Times New Roman"/>
          <w:sz w:val="22"/>
          <w:szCs w:val="22"/>
        </w:rPr>
        <w:t>Não poderão participar desta licitação os interessados:</w:t>
      </w:r>
    </w:p>
    <w:p w:rsidR="002C0C87" w:rsidRDefault="006D2EFC">
      <w:pPr>
        <w:numPr>
          <w:ilvl w:val="2"/>
          <w:numId w:val="4"/>
        </w:numPr>
        <w:ind w:left="567" w:firstLine="0"/>
        <w:jc w:val="both"/>
      </w:pPr>
      <w:proofErr w:type="gramStart"/>
      <w:r>
        <w:rPr>
          <w:rFonts w:ascii="Times New Roman" w:hAnsi="Times New Roman" w:cs="Times New Roman"/>
          <w:sz w:val="22"/>
          <w:szCs w:val="22"/>
        </w:rPr>
        <w:t>proibidos</w:t>
      </w:r>
      <w:proofErr w:type="gramEnd"/>
      <w:r>
        <w:rPr>
          <w:rFonts w:ascii="Times New Roman" w:hAnsi="Times New Roman" w:cs="Times New Roman"/>
          <w:sz w:val="22"/>
          <w:szCs w:val="22"/>
        </w:rPr>
        <w:t xml:space="preserve"> de participar de licitações e celebrar contratos administrativos, na forma da legislação vigente;</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atendam às condições deste Edital e seu(s) anexo(s);</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estrangeiros</w:t>
      </w:r>
      <w:proofErr w:type="gramEnd"/>
      <w:r>
        <w:rPr>
          <w:rFonts w:ascii="Times New Roman" w:hAnsi="Times New Roman" w:cs="Times New Roman"/>
          <w:sz w:val="22"/>
          <w:szCs w:val="22"/>
        </w:rPr>
        <w:t xml:space="preserve"> que não tenham representação legal no Brasil com poderes expressos para receber citação e responder administrativa ou judicialmente;</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se enquadrem nas vedações previstas no artigo 9º da Lei nº 8.666, de 1993;</w:t>
      </w:r>
    </w:p>
    <w:p w:rsidR="002C0C87" w:rsidRDefault="006D2EFC">
      <w:pPr>
        <w:numPr>
          <w:ilvl w:val="2"/>
          <w:numId w:val="4"/>
        </w:numPr>
        <w:ind w:left="567" w:firstLine="0"/>
        <w:jc w:val="both"/>
        <w:rPr>
          <w:color w:val="000000"/>
        </w:rPr>
      </w:pPr>
      <w:bookmarkStart w:id="1" w:name="_heading=h.gjdgxs" w:colFirst="0" w:colLast="0"/>
      <w:bookmarkEnd w:id="1"/>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estejam sob falência, concurso de credores ou insolvência, em processo de dissolução ou liquidação;</w:t>
      </w:r>
    </w:p>
    <w:p w:rsidR="002C0C87" w:rsidRDefault="006D2EFC">
      <w:pPr>
        <w:numPr>
          <w:ilvl w:val="2"/>
          <w:numId w:val="4"/>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entidades</w:t>
      </w:r>
      <w:proofErr w:type="gramEnd"/>
      <w:r>
        <w:rPr>
          <w:rFonts w:ascii="Times New Roman" w:hAnsi="Times New Roman" w:cs="Times New Roman"/>
          <w:sz w:val="22"/>
          <w:szCs w:val="22"/>
        </w:rPr>
        <w:t xml:space="preserve"> empresariais que estejam reunidas em consórcio;</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organizações</w:t>
      </w:r>
      <w:proofErr w:type="gramEnd"/>
      <w:r>
        <w:rPr>
          <w:rFonts w:ascii="Times New Roman" w:hAnsi="Times New Roman" w:cs="Times New Roman"/>
          <w:sz w:val="22"/>
          <w:szCs w:val="22"/>
        </w:rPr>
        <w:t xml:space="preserve"> da Sociedade Civil de Interesse Público - OSCIP, atuando nessa condição (Acórdão nº 746/2014-TCU-Plenário); </w:t>
      </w:r>
    </w:p>
    <w:p w:rsidR="002C0C87" w:rsidRDefault="006D2EFC">
      <w:pPr>
        <w:numPr>
          <w:ilvl w:val="2"/>
          <w:numId w:val="4"/>
        </w:numPr>
        <w:ind w:left="567" w:firstLine="0"/>
        <w:jc w:val="both"/>
        <w:rPr>
          <w:color w:val="000000"/>
        </w:rPr>
      </w:pPr>
      <w:bookmarkStart w:id="2" w:name="_heading=h.30j0zll" w:colFirst="0" w:colLast="0"/>
      <w:bookmarkEnd w:id="2"/>
      <w:proofErr w:type="gramStart"/>
      <w:r>
        <w:rPr>
          <w:rFonts w:ascii="Times New Roman" w:hAnsi="Times New Roman" w:cs="Times New Roman"/>
          <w:sz w:val="22"/>
          <w:szCs w:val="22"/>
        </w:rPr>
        <w:t>sociedades</w:t>
      </w:r>
      <w:proofErr w:type="gramEnd"/>
      <w:r>
        <w:rPr>
          <w:rFonts w:ascii="Times New Roman" w:hAnsi="Times New Roman" w:cs="Times New Roman"/>
          <w:sz w:val="22"/>
          <w:szCs w:val="22"/>
        </w:rPr>
        <w:t xml:space="preserve"> cooperativas, considerando a vedação contida no art. 10 da Instrução Normativa SEGES/MP nº 5, de 2017.</w:t>
      </w:r>
    </w:p>
    <w:p w:rsidR="002C0C87" w:rsidRDefault="006D2EFC">
      <w:pPr>
        <w:numPr>
          <w:ilvl w:val="1"/>
          <w:numId w:val="3"/>
        </w:numPr>
        <w:jc w:val="both"/>
        <w:rPr>
          <w:color w:val="000000"/>
        </w:rPr>
      </w:pPr>
      <w:r>
        <w:rPr>
          <w:rFonts w:ascii="Times New Roman" w:hAnsi="Times New Roman" w:cs="Times New Roman"/>
          <w:sz w:val="22"/>
          <w:szCs w:val="22"/>
        </w:rPr>
        <w:t>Nos termos do art. 5º do Decreto nº 9.507, de 2018, é vedada a contratação de pessoa jurídica na qual haja administrador ou sócio com poder de direção, familiar de:</w:t>
      </w:r>
    </w:p>
    <w:p w:rsidR="002C0C87" w:rsidRDefault="006D2EFC">
      <w:pPr>
        <w:numPr>
          <w:ilvl w:val="0"/>
          <w:numId w:val="5"/>
        </w:numPr>
        <w:ind w:left="567" w:firstLine="0"/>
        <w:jc w:val="both"/>
        <w:rPr>
          <w:color w:val="000000"/>
        </w:rPr>
      </w:pPr>
      <w:proofErr w:type="gramStart"/>
      <w:r>
        <w:rPr>
          <w:rFonts w:ascii="Times New Roman" w:hAnsi="Times New Roman" w:cs="Times New Roman"/>
          <w:sz w:val="22"/>
          <w:szCs w:val="22"/>
        </w:rPr>
        <w:t>detentor</w:t>
      </w:r>
      <w:proofErr w:type="gramEnd"/>
      <w:r>
        <w:rPr>
          <w:rFonts w:ascii="Times New Roman" w:hAnsi="Times New Roman" w:cs="Times New Roman"/>
          <w:sz w:val="22"/>
          <w:szCs w:val="22"/>
        </w:rPr>
        <w:t xml:space="preserve"> de cargo em comissão ou função de confiança que atue na área responsável pela demanda ou contratação; ou</w:t>
      </w:r>
    </w:p>
    <w:p w:rsidR="002C0C87" w:rsidRDefault="006D2EFC">
      <w:pPr>
        <w:numPr>
          <w:ilvl w:val="0"/>
          <w:numId w:val="5"/>
        </w:numPr>
        <w:ind w:left="567" w:firstLine="0"/>
        <w:jc w:val="both"/>
        <w:rPr>
          <w:color w:val="000000"/>
        </w:rPr>
      </w:pPr>
      <w:proofErr w:type="gramStart"/>
      <w:r>
        <w:rPr>
          <w:rFonts w:ascii="Times New Roman" w:hAnsi="Times New Roman" w:cs="Times New Roman"/>
          <w:sz w:val="22"/>
          <w:szCs w:val="22"/>
        </w:rPr>
        <w:t>de</w:t>
      </w:r>
      <w:proofErr w:type="gramEnd"/>
      <w:r>
        <w:rPr>
          <w:rFonts w:ascii="Times New Roman" w:hAnsi="Times New Roman" w:cs="Times New Roman"/>
          <w:sz w:val="22"/>
          <w:szCs w:val="22"/>
        </w:rPr>
        <w:t xml:space="preserve"> autoridade hierarquicamente superior no âmbito do órgão contratante.</w:t>
      </w:r>
    </w:p>
    <w:p w:rsidR="002C0C87" w:rsidRDefault="006D2EFC">
      <w:pPr>
        <w:numPr>
          <w:ilvl w:val="2"/>
          <w:numId w:val="1"/>
        </w:numPr>
        <w:ind w:left="567" w:firstLine="0"/>
        <w:jc w:val="both"/>
      </w:pPr>
      <w:r>
        <w:rPr>
          <w:rFonts w:ascii="Times New Roman" w:hAnsi="Times New Roman" w:cs="Times New Roman"/>
          <w:sz w:val="22"/>
          <w:szCs w:val="22"/>
        </w:rPr>
        <w:lastRenderedPageBreak/>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2C0C87" w:rsidRDefault="006D2EFC">
      <w:pPr>
        <w:numPr>
          <w:ilvl w:val="1"/>
          <w:numId w:val="3"/>
        </w:numPr>
        <w:jc w:val="both"/>
        <w:rPr>
          <w:color w:val="000000"/>
        </w:rPr>
      </w:pPr>
      <w:r>
        <w:rPr>
          <w:rFonts w:ascii="Times New Roman" w:hAnsi="Times New Roman" w:cs="Times New Roman"/>
          <w:sz w:val="22"/>
          <w:szCs w:val="22"/>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 xml:space="preserve">Como condição para participação no Pregão, o licitante assinalará “sim” ou “não” em campo próprio do sistema eletrônico, relativo às seguintes declarações: </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cumpre os requisitos estabelecidos no artigo 3° da Lei Complementar nº 123, de 2006, estando apto a usufruir do tratamento favorecido estabelecido em seus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42 a 49.</w:t>
      </w:r>
    </w:p>
    <w:p w:rsidR="002C0C87" w:rsidRDefault="006D2EFC">
      <w:pPr>
        <w:numPr>
          <w:ilvl w:val="3"/>
          <w:numId w:val="3"/>
        </w:numPr>
        <w:ind w:left="1134" w:firstLine="0"/>
        <w:jc w:val="both"/>
      </w:pPr>
      <w:proofErr w:type="gramStart"/>
      <w:r>
        <w:rPr>
          <w:rFonts w:ascii="Times New Roman" w:hAnsi="Times New Roman" w:cs="Times New Roman"/>
          <w:sz w:val="22"/>
          <w:szCs w:val="22"/>
        </w:rPr>
        <w:t>nos</w:t>
      </w:r>
      <w:proofErr w:type="gramEnd"/>
      <w:r>
        <w:rPr>
          <w:rFonts w:ascii="Times New Roman" w:hAnsi="Times New Roman" w:cs="Times New Roman"/>
          <w:sz w:val="22"/>
          <w:szCs w:val="22"/>
        </w:rPr>
        <w:t xml:space="preserve"> itens exclusivos para participação de microempresas e empresas de pequeno porte, a assinalação do campo “não” impedirá o prosseguimento no certame;</w:t>
      </w:r>
    </w:p>
    <w:p w:rsidR="002C0C87" w:rsidRDefault="006D2EFC">
      <w:pPr>
        <w:numPr>
          <w:ilvl w:val="3"/>
          <w:numId w:val="3"/>
        </w:numPr>
        <w:ind w:left="1134" w:firstLine="0"/>
        <w:jc w:val="both"/>
        <w:rPr>
          <w:rFonts w:ascii="Times New Roman" w:hAnsi="Times New Roman" w:cs="Times New Roman"/>
          <w:sz w:val="22"/>
          <w:szCs w:val="22"/>
        </w:rPr>
      </w:pPr>
      <w:proofErr w:type="gramStart"/>
      <w:r>
        <w:rPr>
          <w:rFonts w:ascii="Times New Roman" w:hAnsi="Times New Roman" w:cs="Times New Roman"/>
          <w:sz w:val="22"/>
          <w:szCs w:val="22"/>
        </w:rPr>
        <w:t>nos</w:t>
      </w:r>
      <w:proofErr w:type="gramEnd"/>
      <w:r>
        <w:rPr>
          <w:rFonts w:ascii="Times New Roman" w:hAnsi="Times New Roman" w:cs="Times New Roman"/>
          <w:sz w:val="22"/>
          <w:szCs w:val="22"/>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está ciente e concorda com as condições contidas no Edital e seus anexos;</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cumpre os requisitos para a habilitação definidos no Edital e que a proposta apresentada está em conformidade com as exigências </w:t>
      </w:r>
      <w:proofErr w:type="spellStart"/>
      <w:r>
        <w:rPr>
          <w:rFonts w:ascii="Times New Roman" w:hAnsi="Times New Roman" w:cs="Times New Roman"/>
          <w:sz w:val="22"/>
          <w:szCs w:val="22"/>
        </w:rPr>
        <w:t>editalícias</w:t>
      </w:r>
      <w:proofErr w:type="spellEnd"/>
      <w:r>
        <w:rPr>
          <w:rFonts w:ascii="Times New Roman" w:hAnsi="Times New Roman" w:cs="Times New Roman"/>
          <w:sz w:val="22"/>
          <w:szCs w:val="22"/>
        </w:rPr>
        <w:t xml:space="preserve">;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inexistem fatos impeditivos para sua habilitação no certame, ciente da obrigatoriedade de declarar ocorrências posteriores;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emprega menor de 18 anos em trabalho noturno, perigoso ou insalubre e não emprega menor de 16 anos, salvo menor, a partir de 14 anos, na condição de aprendiz, nos termos do artigo 7°, XXXIII, da Constituição;</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a proposta foi elaborada de forma independente;</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possui, em sua cadeia produtiva, empregados executando trabalho degradante ou forçado, observando o disposto nos incisos III e IV do art. 1º e no inciso III do art. 5º da Constituição Federal;</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2C0C87" w:rsidRDefault="006D2EFC">
      <w:pPr>
        <w:numPr>
          <w:ilvl w:val="1"/>
          <w:numId w:val="3"/>
        </w:numPr>
        <w:jc w:val="both"/>
      </w:pPr>
      <w:r>
        <w:rPr>
          <w:rFonts w:ascii="Times New Roman" w:hAnsi="Times New Roman" w:cs="Times New Roman"/>
          <w:sz w:val="22"/>
          <w:szCs w:val="22"/>
        </w:rPr>
        <w:t>A declaração falsa relativa ao cumprimento de qualquer condição sujeitará o licitante às sanções previstas em lei e neste Edital.</w:t>
      </w:r>
    </w:p>
    <w:p w:rsidR="002C0C87" w:rsidRDefault="002C0C87">
      <w:pPr>
        <w:ind w:left="432"/>
        <w:jc w:val="both"/>
        <w:rPr>
          <w:rFonts w:ascii="Times New Roman" w:hAnsi="Times New Roman" w:cs="Times New Roman"/>
          <w:sz w:val="22"/>
          <w:szCs w:val="22"/>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pPr>
      <w:r>
        <w:rPr>
          <w:rFonts w:ascii="Times New Roman" w:hAnsi="Times New Roman" w:cs="Times New Roman"/>
          <w:b/>
          <w:sz w:val="22"/>
          <w:szCs w:val="22"/>
        </w:rPr>
        <w:t>DA APRESENTAÇÃO DA PROPOSTA E DOS DOCUMENTOS DE HABILITAÇÃO</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jc w:val="both"/>
        <w:rPr>
          <w:color w:val="000000"/>
        </w:rPr>
      </w:pPr>
      <w:r>
        <w:rPr>
          <w:rFonts w:ascii="Times New Roman" w:hAnsi="Times New Roman" w:cs="Times New Roman"/>
          <w:sz w:val="22"/>
          <w:szCs w:val="22"/>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w:t>
      </w:r>
      <w:proofErr w:type="gramStart"/>
      <w:r>
        <w:rPr>
          <w:rFonts w:ascii="Times New Roman" w:hAnsi="Times New Roman" w:cs="Times New Roman"/>
          <w:sz w:val="22"/>
          <w:szCs w:val="22"/>
        </w:rPr>
        <w:t>documentação</w:t>
      </w:r>
      <w:proofErr w:type="gramEnd"/>
    </w:p>
    <w:p w:rsidR="002C0C87" w:rsidRDefault="006D2EFC">
      <w:pPr>
        <w:numPr>
          <w:ilvl w:val="1"/>
          <w:numId w:val="3"/>
        </w:numPr>
        <w:jc w:val="both"/>
        <w:rPr>
          <w:color w:val="000000"/>
        </w:rPr>
      </w:pPr>
      <w:r>
        <w:rPr>
          <w:rFonts w:ascii="Times New Roman" w:hAnsi="Times New Roman" w:cs="Times New Roman"/>
          <w:sz w:val="22"/>
          <w:szCs w:val="22"/>
        </w:rPr>
        <w:t>O envio da proposta, acompanhada dos documentos de habilitação exigidos neste Edital, ocorrerá por meio de chave de acesso e senha.</w:t>
      </w:r>
    </w:p>
    <w:p w:rsidR="002C0C87" w:rsidRDefault="006D2EFC">
      <w:pPr>
        <w:numPr>
          <w:ilvl w:val="1"/>
          <w:numId w:val="3"/>
        </w:numPr>
        <w:jc w:val="both"/>
        <w:rPr>
          <w:color w:val="000000"/>
        </w:rPr>
      </w:pPr>
      <w:r>
        <w:rPr>
          <w:rFonts w:ascii="Times New Roman" w:hAnsi="Times New Roman" w:cs="Times New Roman"/>
          <w:sz w:val="22"/>
          <w:szCs w:val="22"/>
        </w:rPr>
        <w:t>Os licitantes poderão deixar de apresentar os documentos de habilitação que constem do SICAF, assegurado aos demais licitantes o direito de acesso aos dados constantes dos sistemas.</w:t>
      </w:r>
    </w:p>
    <w:p w:rsidR="002C0C87" w:rsidRDefault="006D2EFC">
      <w:pPr>
        <w:numPr>
          <w:ilvl w:val="1"/>
          <w:numId w:val="3"/>
        </w:numPr>
        <w:jc w:val="both"/>
        <w:rPr>
          <w:color w:val="000000"/>
        </w:rPr>
      </w:pPr>
      <w:r>
        <w:rPr>
          <w:rFonts w:ascii="Times New Roman" w:hAnsi="Times New Roman" w:cs="Times New Roman"/>
          <w:sz w:val="22"/>
          <w:szCs w:val="22"/>
        </w:rPr>
        <w:t>As Microempresas e Empresas de Pequeno Porte deverão encaminhar a documentação de habilitação, ainda que haja alguma restrição de regularidade fiscal e trabalhista, nos termos do art. 43, § 1º da LC nº 123, de 2006.</w:t>
      </w:r>
    </w:p>
    <w:p w:rsidR="002C0C87" w:rsidRDefault="006D2EFC">
      <w:pPr>
        <w:numPr>
          <w:ilvl w:val="1"/>
          <w:numId w:val="3"/>
        </w:numPr>
        <w:jc w:val="both"/>
        <w:rPr>
          <w:color w:val="000000"/>
        </w:rPr>
      </w:pPr>
      <w:r>
        <w:rPr>
          <w:rFonts w:ascii="Times New Roman" w:hAnsi="Times New Roman" w:cs="Times New Roman"/>
          <w:sz w:val="22"/>
          <w:szCs w:val="22"/>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2C0C87" w:rsidRDefault="006D2EFC">
      <w:pPr>
        <w:numPr>
          <w:ilvl w:val="1"/>
          <w:numId w:val="3"/>
        </w:numPr>
        <w:jc w:val="both"/>
        <w:rPr>
          <w:color w:val="000000"/>
        </w:rPr>
      </w:pPr>
      <w:r>
        <w:rPr>
          <w:rFonts w:ascii="Times New Roman" w:hAnsi="Times New Roman" w:cs="Times New Roman"/>
          <w:sz w:val="22"/>
          <w:szCs w:val="22"/>
        </w:rPr>
        <w:t xml:space="preserve">Até a abertura da sessão pública, os licitantes poderão retirar ou substituir a proposta e os documentos de habilitação anteriormente inseridos no </w:t>
      </w:r>
      <w:proofErr w:type="gramStart"/>
      <w:r>
        <w:rPr>
          <w:rFonts w:ascii="Times New Roman" w:hAnsi="Times New Roman" w:cs="Times New Roman"/>
          <w:sz w:val="22"/>
          <w:szCs w:val="22"/>
        </w:rPr>
        <w:t>sistema</w:t>
      </w:r>
      <w:proofErr w:type="gramEnd"/>
    </w:p>
    <w:p w:rsidR="002C0C87" w:rsidRDefault="006D2EFC">
      <w:pPr>
        <w:numPr>
          <w:ilvl w:val="1"/>
          <w:numId w:val="3"/>
        </w:numPr>
        <w:jc w:val="both"/>
        <w:rPr>
          <w:color w:val="000000"/>
        </w:rPr>
      </w:pPr>
      <w:r>
        <w:rPr>
          <w:rFonts w:ascii="Times New Roman" w:hAnsi="Times New Roman" w:cs="Times New Roman"/>
          <w:sz w:val="22"/>
          <w:szCs w:val="22"/>
        </w:rPr>
        <w:t>Não será estabelecida, nessa etapa do certame, ordem de classificação entre as propostas apresentadas, o que somente ocorrerá após a realização dos procedimentos de negociação e julgamento da proposta.</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Os documentos que compõem a proposta e a habilitação do licitante melhor classificado somente serão disponibilizados para avaliação do pregoeiro e para acesso público após o encerramento do envio de lances.</w:t>
      </w: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rPr>
          <w:color w:val="000000"/>
        </w:rPr>
      </w:pPr>
      <w:r>
        <w:rPr>
          <w:rFonts w:ascii="Times New Roman" w:hAnsi="Times New Roman" w:cs="Times New Roman"/>
          <w:b/>
          <w:sz w:val="22"/>
          <w:szCs w:val="22"/>
        </w:rPr>
        <w:t>DO PREENCHIMENTO DA PROPOSTA</w:t>
      </w:r>
    </w:p>
    <w:p w:rsidR="002C0C87" w:rsidRDefault="002C0C87">
      <w:pPr>
        <w:jc w:val="both"/>
        <w:rPr>
          <w:rFonts w:ascii="Times New Roman" w:hAnsi="Times New Roman" w:cs="Times New Roman"/>
          <w:sz w:val="22"/>
          <w:szCs w:val="22"/>
        </w:rPr>
      </w:pPr>
    </w:p>
    <w:p w:rsidR="002C0C87" w:rsidRDefault="006D2EFC">
      <w:pPr>
        <w:numPr>
          <w:ilvl w:val="1"/>
          <w:numId w:val="3"/>
        </w:numPr>
        <w:jc w:val="both"/>
        <w:rPr>
          <w:color w:val="000000"/>
        </w:rPr>
      </w:pPr>
      <w:r>
        <w:rPr>
          <w:rFonts w:ascii="Times New Roman" w:hAnsi="Times New Roman" w:cs="Times New Roman"/>
          <w:sz w:val="22"/>
          <w:szCs w:val="22"/>
        </w:rPr>
        <w:t>O licitante deverá enviar sua proposta mediante o preenchimento, no sistema eletrônico, dos seguintes campos:</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Valor unitário do item. </w:t>
      </w:r>
      <w:r>
        <w:rPr>
          <w:rFonts w:ascii="Times New Roman" w:hAnsi="Times New Roman" w:cs="Times New Roman"/>
          <w:b/>
          <w:sz w:val="22"/>
          <w:szCs w:val="22"/>
        </w:rPr>
        <w:t xml:space="preserve">Informar o valor correspondente </w:t>
      </w:r>
      <w:proofErr w:type="gramStart"/>
      <w:r>
        <w:rPr>
          <w:rFonts w:ascii="Times New Roman" w:hAnsi="Times New Roman" w:cs="Times New Roman"/>
          <w:b/>
          <w:sz w:val="22"/>
          <w:szCs w:val="22"/>
        </w:rPr>
        <w:t>a</w:t>
      </w:r>
      <w:proofErr w:type="gramEnd"/>
      <w:r>
        <w:rPr>
          <w:rFonts w:ascii="Times New Roman" w:hAnsi="Times New Roman" w:cs="Times New Roman"/>
          <w:b/>
          <w:sz w:val="22"/>
          <w:szCs w:val="22"/>
        </w:rPr>
        <w:t xml:space="preserve"> soma de todos os itens da cesta de produtos</w:t>
      </w:r>
      <w:r>
        <w:rPr>
          <w:rFonts w:ascii="Times New Roman" w:hAnsi="Times New Roman" w:cs="Times New Roman"/>
          <w:sz w:val="22"/>
          <w:szCs w:val="22"/>
        </w:rPr>
        <w:t>.</w:t>
      </w:r>
    </w:p>
    <w:p w:rsidR="002C0C87" w:rsidRDefault="006D2EFC">
      <w:pPr>
        <w:numPr>
          <w:ilvl w:val="2"/>
          <w:numId w:val="3"/>
        </w:numPr>
        <w:ind w:left="567" w:firstLine="0"/>
        <w:jc w:val="both"/>
        <w:rPr>
          <w:color w:val="000000"/>
        </w:rPr>
      </w:pPr>
      <w:r>
        <w:rPr>
          <w:rFonts w:ascii="Times New Roman" w:hAnsi="Times New Roman" w:cs="Times New Roman"/>
          <w:sz w:val="22"/>
          <w:szCs w:val="22"/>
        </w:rPr>
        <w:t>Descrição do objeto, contendo as informações similares à especificação do Termo de Referência.</w:t>
      </w:r>
    </w:p>
    <w:p w:rsidR="002C0C87" w:rsidRDefault="006D2EFC">
      <w:pPr>
        <w:numPr>
          <w:ilvl w:val="1"/>
          <w:numId w:val="3"/>
        </w:numPr>
        <w:jc w:val="both"/>
        <w:rPr>
          <w:color w:val="000000"/>
        </w:rPr>
      </w:pPr>
      <w:r>
        <w:rPr>
          <w:rFonts w:ascii="Times New Roman" w:hAnsi="Times New Roman" w:cs="Times New Roman"/>
          <w:sz w:val="22"/>
          <w:szCs w:val="22"/>
        </w:rPr>
        <w:t>Todas as especificações do objeto contidas na proposta vinculam a Contratada.</w:t>
      </w:r>
    </w:p>
    <w:p w:rsidR="002C0C87" w:rsidRDefault="006D2EFC">
      <w:pPr>
        <w:numPr>
          <w:ilvl w:val="1"/>
          <w:numId w:val="3"/>
        </w:numPr>
        <w:jc w:val="both"/>
        <w:rPr>
          <w:color w:val="000000"/>
        </w:rPr>
      </w:pPr>
      <w:r>
        <w:rPr>
          <w:rFonts w:ascii="Times New Roman" w:hAnsi="Times New Roman" w:cs="Times New Roman"/>
          <w:sz w:val="22"/>
          <w:szCs w:val="22"/>
        </w:rPr>
        <w:t>Nos valores propostos estarão inclusos todos os custos operacionais, encargos previdenciários, trabalhistas, tributários, comerciais e quaisquer outros que incidam direta ou indiretamente na prestação dos serviços, apurados mediante o preenchimento do modelo de proposta da cesta de produtos, conforme anexo deste Edital;</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rsidR="002C0C87" w:rsidRDefault="006D2EFC">
      <w:pPr>
        <w:numPr>
          <w:ilvl w:val="1"/>
          <w:numId w:val="3"/>
        </w:numPr>
        <w:jc w:val="both"/>
        <w:rPr>
          <w:color w:val="000000"/>
        </w:rPr>
      </w:pPr>
      <w:r>
        <w:rPr>
          <w:rFonts w:ascii="Times New Roman" w:hAnsi="Times New Roman" w:cs="Times New Roman"/>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2C0C87" w:rsidRDefault="006D2EFC">
      <w:pPr>
        <w:numPr>
          <w:ilvl w:val="1"/>
          <w:numId w:val="3"/>
        </w:numPr>
        <w:jc w:val="both"/>
        <w:rPr>
          <w:color w:val="000000"/>
        </w:rPr>
      </w:pPr>
      <w:r>
        <w:rPr>
          <w:rFonts w:ascii="Times New Roman" w:hAnsi="Times New Roman" w:cs="Times New Roman"/>
          <w:sz w:val="22"/>
          <w:szCs w:val="22"/>
        </w:rPr>
        <w:t>Independentemente do percentual de tributo inserido na proposta, no pagamento dos serviços, serão retidos na fonte os percentuais estabelecidos na legislação vigente.</w:t>
      </w:r>
    </w:p>
    <w:p w:rsidR="002C0C87" w:rsidRDefault="006D2EFC">
      <w:pPr>
        <w:numPr>
          <w:ilvl w:val="1"/>
          <w:numId w:val="3"/>
        </w:numPr>
        <w:jc w:val="both"/>
        <w:rPr>
          <w:color w:val="000000"/>
        </w:rPr>
      </w:pPr>
      <w:r>
        <w:rPr>
          <w:rFonts w:ascii="Times New Roman" w:hAnsi="Times New Roman" w:cs="Times New Roman"/>
          <w:sz w:val="22"/>
          <w:szCs w:val="22"/>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Pr>
          <w:rFonts w:ascii="Times New Roman" w:hAnsi="Times New Roman" w:cs="Times New Roman"/>
          <w:sz w:val="22"/>
          <w:szCs w:val="22"/>
        </w:rPr>
        <w:t>adequadas à perfeita execução contratual, promovendo, quando requerido, sua substituição</w:t>
      </w:r>
      <w:proofErr w:type="gramEnd"/>
      <w:r>
        <w:rPr>
          <w:rFonts w:ascii="Times New Roman" w:hAnsi="Times New Roman" w:cs="Times New Roman"/>
          <w:sz w:val="22"/>
          <w:szCs w:val="22"/>
        </w:rPr>
        <w:t>.</w:t>
      </w:r>
    </w:p>
    <w:p w:rsidR="002C0C87" w:rsidRDefault="006D2EFC">
      <w:pPr>
        <w:numPr>
          <w:ilvl w:val="1"/>
          <w:numId w:val="3"/>
        </w:numPr>
        <w:jc w:val="both"/>
        <w:rPr>
          <w:color w:val="000000"/>
        </w:rPr>
      </w:pPr>
      <w:r>
        <w:rPr>
          <w:rFonts w:ascii="Times New Roman" w:hAnsi="Times New Roman" w:cs="Times New Roman"/>
          <w:sz w:val="22"/>
          <w:szCs w:val="22"/>
        </w:rPr>
        <w:lastRenderedPageBreak/>
        <w:t xml:space="preserve">Os preços ofertados, tanto na proposta inicial, quanto na etapa de lances, serão de exclusiva responsabilidade do licitante, não lhe assistindo o direito de pleitear qualquer alteração, </w:t>
      </w:r>
      <w:proofErr w:type="gramStart"/>
      <w:r>
        <w:rPr>
          <w:rFonts w:ascii="Times New Roman" w:hAnsi="Times New Roman" w:cs="Times New Roman"/>
          <w:sz w:val="22"/>
          <w:szCs w:val="22"/>
        </w:rPr>
        <w:t>sob alegação</w:t>
      </w:r>
      <w:proofErr w:type="gramEnd"/>
      <w:r>
        <w:rPr>
          <w:rFonts w:ascii="Times New Roman" w:hAnsi="Times New Roman" w:cs="Times New Roman"/>
          <w:sz w:val="22"/>
          <w:szCs w:val="22"/>
        </w:rPr>
        <w:t xml:space="preserve"> de erro, omissão ou qualquer outro pretexto.</w:t>
      </w:r>
    </w:p>
    <w:p w:rsidR="002C0C87" w:rsidRDefault="006D2EFC">
      <w:pPr>
        <w:numPr>
          <w:ilvl w:val="1"/>
          <w:numId w:val="3"/>
        </w:numPr>
        <w:jc w:val="both"/>
        <w:rPr>
          <w:color w:val="000000"/>
        </w:rPr>
      </w:pPr>
      <w:r>
        <w:rPr>
          <w:rFonts w:ascii="Times New Roman" w:hAnsi="Times New Roman" w:cs="Times New Roman"/>
          <w:sz w:val="22"/>
          <w:szCs w:val="22"/>
        </w:rPr>
        <w:t>O prazo de validade da proposta não será inferior a 90 (noventa) dias, a contar da data de sua apresentação.</w:t>
      </w:r>
    </w:p>
    <w:p w:rsidR="002C0C87" w:rsidRDefault="006D2EFC">
      <w:pPr>
        <w:numPr>
          <w:ilvl w:val="1"/>
          <w:numId w:val="3"/>
        </w:numPr>
        <w:jc w:val="both"/>
        <w:rPr>
          <w:color w:val="000000"/>
        </w:rPr>
      </w:pPr>
      <w:r>
        <w:rPr>
          <w:rFonts w:ascii="Times New Roman" w:hAnsi="Times New Roman" w:cs="Times New Roman"/>
          <w:sz w:val="22"/>
          <w:szCs w:val="22"/>
        </w:rPr>
        <w:t xml:space="preserve">Os licitantes devem respeitar os preços máximos estabelecidos nas normas de regência de contratações públicas federais, quando participarem de licitações públicas.  </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Pr>
          <w:rFonts w:ascii="Times New Roman" w:hAnsi="Times New Roman" w:cs="Times New Roman"/>
          <w:sz w:val="22"/>
          <w:szCs w:val="22"/>
        </w:rPr>
        <w:t>sobrepreço</w:t>
      </w:r>
      <w:proofErr w:type="spellEnd"/>
      <w:r>
        <w:rPr>
          <w:rFonts w:ascii="Times New Roman" w:hAnsi="Times New Roman" w:cs="Times New Roman"/>
          <w:sz w:val="22"/>
          <w:szCs w:val="22"/>
        </w:rPr>
        <w:t xml:space="preserve"> na execução do </w:t>
      </w:r>
      <w:proofErr w:type="gramStart"/>
      <w:r>
        <w:rPr>
          <w:rFonts w:ascii="Times New Roman" w:hAnsi="Times New Roman" w:cs="Times New Roman"/>
          <w:sz w:val="22"/>
          <w:szCs w:val="22"/>
        </w:rPr>
        <w:t>contrato</w:t>
      </w:r>
      <w:proofErr w:type="gramEnd"/>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pPr>
      <w:r>
        <w:rPr>
          <w:rFonts w:ascii="Times New Roman" w:hAnsi="Times New Roman" w:cs="Times New Roman"/>
          <w:b/>
          <w:sz w:val="22"/>
          <w:szCs w:val="22"/>
        </w:rPr>
        <w:t xml:space="preserve">DA ABERTURA DA SESSÃO, CLASSIFICAÇÃO DAS PROPOSTAS E FORMULAÇÃO DE </w:t>
      </w:r>
      <w:proofErr w:type="gramStart"/>
      <w:r>
        <w:rPr>
          <w:rFonts w:ascii="Times New Roman" w:hAnsi="Times New Roman" w:cs="Times New Roman"/>
          <w:b/>
          <w:sz w:val="22"/>
          <w:szCs w:val="22"/>
        </w:rPr>
        <w:t>LANCES</w:t>
      </w:r>
      <w:proofErr w:type="gramEnd"/>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jc w:val="both"/>
        <w:rPr>
          <w:color w:val="000000"/>
        </w:rPr>
      </w:pPr>
      <w:r>
        <w:rPr>
          <w:rFonts w:ascii="Times New Roman" w:hAnsi="Times New Roman" w:cs="Times New Roman"/>
          <w:sz w:val="22"/>
          <w:szCs w:val="22"/>
        </w:rPr>
        <w:t xml:space="preserve">A abertura da presente licitação dar-se-á em sessão pública, por meio de sistema eletrônico, na data, horário e </w:t>
      </w:r>
      <w:proofErr w:type="gramStart"/>
      <w:r>
        <w:rPr>
          <w:rFonts w:ascii="Times New Roman" w:hAnsi="Times New Roman" w:cs="Times New Roman"/>
          <w:sz w:val="22"/>
          <w:szCs w:val="22"/>
        </w:rPr>
        <w:t>local indicados</w:t>
      </w:r>
      <w:proofErr w:type="gramEnd"/>
      <w:r>
        <w:rPr>
          <w:rFonts w:ascii="Times New Roman" w:hAnsi="Times New Roman" w:cs="Times New Roman"/>
          <w:sz w:val="22"/>
          <w:szCs w:val="22"/>
        </w:rPr>
        <w:t xml:space="preserve"> neste Edital.</w:t>
      </w:r>
    </w:p>
    <w:p w:rsidR="002C0C87" w:rsidRDefault="006D2EFC">
      <w:pPr>
        <w:numPr>
          <w:ilvl w:val="1"/>
          <w:numId w:val="3"/>
        </w:numPr>
        <w:jc w:val="both"/>
        <w:rPr>
          <w:color w:val="000000"/>
        </w:rPr>
      </w:pPr>
      <w:r>
        <w:rPr>
          <w:rFonts w:ascii="Times New Roman" w:hAnsi="Times New Roman" w:cs="Times New Roman"/>
          <w:sz w:val="22"/>
          <w:szCs w:val="22"/>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2C0C87" w:rsidRDefault="006D2EFC">
      <w:pPr>
        <w:numPr>
          <w:ilvl w:val="2"/>
          <w:numId w:val="3"/>
        </w:numPr>
        <w:ind w:left="567" w:firstLine="0"/>
        <w:jc w:val="both"/>
        <w:rPr>
          <w:color w:val="000000"/>
        </w:rPr>
      </w:pPr>
      <w:r>
        <w:rPr>
          <w:rFonts w:ascii="Times New Roman" w:hAnsi="Times New Roman" w:cs="Times New Roman"/>
          <w:sz w:val="22"/>
          <w:szCs w:val="22"/>
        </w:rPr>
        <w:t>Também será desclassificada a proposta que identifique o licitante.</w:t>
      </w:r>
    </w:p>
    <w:p w:rsidR="002C0C87" w:rsidRDefault="006D2EFC">
      <w:pPr>
        <w:numPr>
          <w:ilvl w:val="2"/>
          <w:numId w:val="3"/>
        </w:numPr>
        <w:ind w:left="567" w:firstLine="0"/>
        <w:jc w:val="both"/>
        <w:rPr>
          <w:color w:val="000000"/>
        </w:rPr>
      </w:pPr>
      <w:r>
        <w:rPr>
          <w:rFonts w:ascii="Times New Roman" w:hAnsi="Times New Roman" w:cs="Times New Roman"/>
          <w:sz w:val="22"/>
          <w:szCs w:val="22"/>
        </w:rPr>
        <w:t>A desclassificação será sempre fundamentada e registrada no sistema, com acompanhamento em tempo real por todos os participantes.</w:t>
      </w:r>
    </w:p>
    <w:p w:rsidR="002C0C87" w:rsidRDefault="006D2EFC">
      <w:pPr>
        <w:numPr>
          <w:ilvl w:val="2"/>
          <w:numId w:val="3"/>
        </w:numPr>
        <w:ind w:left="567" w:firstLine="0"/>
        <w:jc w:val="both"/>
        <w:rPr>
          <w:color w:val="000000"/>
        </w:rPr>
      </w:pPr>
      <w:r>
        <w:rPr>
          <w:rFonts w:ascii="Times New Roman" w:hAnsi="Times New Roman" w:cs="Times New Roman"/>
          <w:sz w:val="22"/>
          <w:szCs w:val="22"/>
        </w:rPr>
        <w:t>A não desclassificação da proposta não impede o seu julgamento definitivo em sentido contrário, levado a efeito na fase de aceitação.</w:t>
      </w:r>
    </w:p>
    <w:p w:rsidR="002C0C87" w:rsidRDefault="006D2EFC">
      <w:pPr>
        <w:numPr>
          <w:ilvl w:val="1"/>
          <w:numId w:val="3"/>
        </w:numPr>
        <w:jc w:val="both"/>
        <w:rPr>
          <w:color w:val="000000"/>
        </w:rPr>
      </w:pPr>
      <w:r>
        <w:rPr>
          <w:rFonts w:ascii="Times New Roman" w:hAnsi="Times New Roman" w:cs="Times New Roman"/>
          <w:sz w:val="22"/>
          <w:szCs w:val="22"/>
        </w:rPr>
        <w:t>O sistema ordenará automaticamente as propostas classificadas, sendo que somente estas participarão da fase de lances.</w:t>
      </w:r>
    </w:p>
    <w:p w:rsidR="002C0C87" w:rsidRDefault="006D2EFC">
      <w:pPr>
        <w:numPr>
          <w:ilvl w:val="1"/>
          <w:numId w:val="3"/>
        </w:numPr>
        <w:jc w:val="both"/>
        <w:rPr>
          <w:color w:val="000000"/>
        </w:rPr>
      </w:pPr>
      <w:r>
        <w:rPr>
          <w:rFonts w:ascii="Times New Roman" w:hAnsi="Times New Roman" w:cs="Times New Roman"/>
          <w:sz w:val="22"/>
          <w:szCs w:val="22"/>
        </w:rPr>
        <w:t xml:space="preserve"> O sistema disponibilizará campo próprio para troca de mensagens entre o Pregoeiro e os licitantes.</w:t>
      </w:r>
    </w:p>
    <w:p w:rsidR="002C0C87" w:rsidRDefault="006D2EFC">
      <w:pPr>
        <w:numPr>
          <w:ilvl w:val="1"/>
          <w:numId w:val="3"/>
        </w:numPr>
        <w:jc w:val="both"/>
        <w:rPr>
          <w:color w:val="000000"/>
        </w:rPr>
      </w:pPr>
      <w:r>
        <w:rPr>
          <w:rFonts w:ascii="Times New Roman" w:hAnsi="Times New Roman" w:cs="Times New Roman"/>
          <w:sz w:val="22"/>
          <w:szCs w:val="22"/>
        </w:rPr>
        <w:t xml:space="preserve"> Iniciada a etapa competitiva, os licitantes deverão encaminhar lances exclusivamente por meio de sistema eletrônico, sendo imediatamente informados do seu recebimento e do valor consignado no registro.</w:t>
      </w:r>
    </w:p>
    <w:p w:rsidR="002C0C87" w:rsidRDefault="006D2EFC">
      <w:pPr>
        <w:numPr>
          <w:ilvl w:val="2"/>
          <w:numId w:val="3"/>
        </w:numPr>
        <w:ind w:left="567" w:firstLine="0"/>
        <w:jc w:val="both"/>
        <w:rPr>
          <w:color w:val="000000"/>
        </w:rPr>
      </w:pPr>
      <w:r>
        <w:rPr>
          <w:rFonts w:ascii="Times New Roman" w:hAnsi="Times New Roman" w:cs="Times New Roman"/>
          <w:sz w:val="22"/>
          <w:szCs w:val="22"/>
        </w:rPr>
        <w:t>O lance deverá ser ofertado pelo valor unitário da cesta de produtos.</w:t>
      </w:r>
    </w:p>
    <w:p w:rsidR="002C0C87" w:rsidRDefault="006D2EFC">
      <w:pPr>
        <w:numPr>
          <w:ilvl w:val="1"/>
          <w:numId w:val="3"/>
        </w:numPr>
        <w:jc w:val="both"/>
        <w:rPr>
          <w:color w:val="000000"/>
        </w:rPr>
      </w:pPr>
      <w:r>
        <w:rPr>
          <w:rFonts w:ascii="Times New Roman" w:hAnsi="Times New Roman" w:cs="Times New Roman"/>
          <w:sz w:val="22"/>
          <w:szCs w:val="22"/>
        </w:rPr>
        <w:t>Os licitantes poderão oferecer lances sucessivos, observando o horário fixado para abertura da sessão e as regras estabelecidas no Edital.</w:t>
      </w:r>
    </w:p>
    <w:p w:rsidR="002C0C87" w:rsidRDefault="006D2EFC">
      <w:pPr>
        <w:numPr>
          <w:ilvl w:val="1"/>
          <w:numId w:val="3"/>
        </w:numPr>
        <w:jc w:val="both"/>
        <w:rPr>
          <w:color w:val="000000"/>
        </w:rPr>
      </w:pPr>
      <w:r>
        <w:rPr>
          <w:rFonts w:ascii="Times New Roman" w:hAnsi="Times New Roman" w:cs="Times New Roman"/>
          <w:sz w:val="22"/>
          <w:szCs w:val="22"/>
        </w:rPr>
        <w:t xml:space="preserve">O licitante somente poderá oferecer lance de valor inferior ou percentual de desconto superior ao último por ele ofertado e registrado pelo sistema. </w:t>
      </w:r>
    </w:p>
    <w:p w:rsidR="002C0C87" w:rsidRDefault="006D2EFC">
      <w:pPr>
        <w:numPr>
          <w:ilvl w:val="1"/>
          <w:numId w:val="3"/>
        </w:numPr>
        <w:jc w:val="both"/>
        <w:rPr>
          <w:color w:val="000000"/>
        </w:rPr>
      </w:pPr>
      <w:r>
        <w:rPr>
          <w:rFonts w:ascii="Times New Roman" w:hAnsi="Times New Roman" w:cs="Times New Roman"/>
          <w:sz w:val="22"/>
          <w:szCs w:val="22"/>
        </w:rPr>
        <w:t xml:space="preserve"> Será adotado para o envio de lances no pregão eletrônico o modo de disputa “aberto e fechado”, em que os licitantes apresentarão lances públicos e sucessivos, com lance final e fechado</w:t>
      </w:r>
      <w:r>
        <w:rPr>
          <w:color w:val="000000"/>
        </w:rPr>
        <w:t>.</w:t>
      </w:r>
    </w:p>
    <w:p w:rsidR="002C0C87" w:rsidRDefault="006D2EFC">
      <w:pPr>
        <w:numPr>
          <w:ilvl w:val="1"/>
          <w:numId w:val="3"/>
        </w:numPr>
        <w:jc w:val="both"/>
        <w:rPr>
          <w:color w:val="000000"/>
        </w:rPr>
      </w:pPr>
      <w:r>
        <w:rPr>
          <w:rFonts w:ascii="Times New Roman" w:hAnsi="Times New Roman" w:cs="Times New Roman"/>
          <w:sz w:val="22"/>
          <w:szCs w:val="22"/>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C0C87" w:rsidRDefault="006D2EFC">
      <w:pPr>
        <w:numPr>
          <w:ilvl w:val="1"/>
          <w:numId w:val="3"/>
        </w:numPr>
        <w:jc w:val="both"/>
        <w:rPr>
          <w:color w:val="000000"/>
        </w:rPr>
      </w:pPr>
      <w:r>
        <w:rPr>
          <w:rFonts w:ascii="Times New Roman" w:hAnsi="Times New Roman" w:cs="Times New Roman"/>
          <w:sz w:val="22"/>
          <w:szCs w:val="22"/>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2C0C87" w:rsidRDefault="006D2EFC">
      <w:pPr>
        <w:numPr>
          <w:ilvl w:val="2"/>
          <w:numId w:val="3"/>
        </w:numPr>
        <w:ind w:left="567" w:firstLine="0"/>
        <w:jc w:val="both"/>
        <w:rPr>
          <w:color w:val="000000"/>
        </w:rPr>
      </w:pPr>
      <w:r>
        <w:rPr>
          <w:rFonts w:ascii="Times New Roman" w:hAnsi="Times New Roman" w:cs="Times New Roman"/>
          <w:sz w:val="22"/>
          <w:szCs w:val="22"/>
        </w:rPr>
        <w:lastRenderedPageBreak/>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2C0C87" w:rsidRDefault="006D2EFC">
      <w:pPr>
        <w:numPr>
          <w:ilvl w:val="1"/>
          <w:numId w:val="3"/>
        </w:numPr>
        <w:jc w:val="both"/>
        <w:rPr>
          <w:color w:val="000000"/>
        </w:rPr>
      </w:pPr>
      <w:r>
        <w:rPr>
          <w:rFonts w:ascii="Times New Roman" w:hAnsi="Times New Roman" w:cs="Times New Roman"/>
          <w:sz w:val="22"/>
          <w:szCs w:val="22"/>
        </w:rPr>
        <w:t>Após o término dos prazos estabelecidos nos itens anteriores, o sistema ordenará os lances segundo a ordem crescente de valores.</w:t>
      </w:r>
    </w:p>
    <w:p w:rsidR="002C0C87" w:rsidRDefault="006D2EFC">
      <w:pPr>
        <w:numPr>
          <w:ilvl w:val="2"/>
          <w:numId w:val="3"/>
        </w:numPr>
        <w:ind w:left="567" w:firstLine="0"/>
        <w:jc w:val="both"/>
        <w:rPr>
          <w:color w:val="000000"/>
        </w:rPr>
      </w:pPr>
      <w:r>
        <w:rPr>
          <w:rFonts w:ascii="Times New Roman" w:hAnsi="Times New Roman" w:cs="Times New Roman"/>
          <w:sz w:val="22"/>
          <w:szCs w:val="22"/>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C0C87" w:rsidRDefault="006D2EFC">
      <w:pPr>
        <w:numPr>
          <w:ilvl w:val="1"/>
          <w:numId w:val="3"/>
        </w:numPr>
        <w:jc w:val="both"/>
        <w:rPr>
          <w:color w:val="000000"/>
        </w:rPr>
      </w:pPr>
      <w:r>
        <w:rPr>
          <w:rFonts w:ascii="Times New Roman" w:hAnsi="Times New Roman" w:cs="Times New Roman"/>
          <w:sz w:val="22"/>
          <w:szCs w:val="22"/>
        </w:rPr>
        <w:t xml:space="preserve">Poderá o pregoeiro, auxiliado pela equipe de apoio, justificadamente, admitir o reinício da etapa fechada, caso nenhum licitante classificado na etapa de lance fechado atender às exigências de </w:t>
      </w:r>
      <w:proofErr w:type="gramStart"/>
      <w:r>
        <w:rPr>
          <w:rFonts w:ascii="Times New Roman" w:hAnsi="Times New Roman" w:cs="Times New Roman"/>
          <w:sz w:val="22"/>
          <w:szCs w:val="22"/>
        </w:rPr>
        <w:t>habilitação</w:t>
      </w:r>
      <w:proofErr w:type="gramEnd"/>
    </w:p>
    <w:p w:rsidR="002C0C87" w:rsidRDefault="006D2EFC">
      <w:pPr>
        <w:numPr>
          <w:ilvl w:val="1"/>
          <w:numId w:val="3"/>
        </w:numPr>
        <w:jc w:val="both"/>
        <w:rPr>
          <w:color w:val="000000"/>
        </w:rPr>
      </w:pPr>
      <w:r>
        <w:rPr>
          <w:rFonts w:ascii="Times New Roman" w:hAnsi="Times New Roman" w:cs="Times New Roman"/>
          <w:sz w:val="22"/>
          <w:szCs w:val="22"/>
        </w:rPr>
        <w:t xml:space="preserve">Não serão aceitos dois ou mais lances de mesmo valor, prevalecendo aquele que for recebido e registrado em primeiro lugar. </w:t>
      </w:r>
    </w:p>
    <w:p w:rsidR="002C0C87" w:rsidRDefault="006D2EFC">
      <w:pPr>
        <w:numPr>
          <w:ilvl w:val="1"/>
          <w:numId w:val="3"/>
        </w:numPr>
        <w:jc w:val="both"/>
        <w:rPr>
          <w:color w:val="000000"/>
        </w:rPr>
      </w:pPr>
      <w:r>
        <w:rPr>
          <w:rFonts w:ascii="Times New Roman" w:hAnsi="Times New Roman" w:cs="Times New Roman"/>
          <w:sz w:val="22"/>
          <w:szCs w:val="22"/>
        </w:rPr>
        <w:t xml:space="preserve">Durante o transcurso da sessão pública, os licitantes serão informados, em tempo real, do valor do menor lance registrado, vedada a identificação do licitante. </w:t>
      </w:r>
    </w:p>
    <w:p w:rsidR="002C0C87" w:rsidRDefault="006D2EFC">
      <w:pPr>
        <w:numPr>
          <w:ilvl w:val="1"/>
          <w:numId w:val="3"/>
        </w:numPr>
        <w:jc w:val="both"/>
        <w:rPr>
          <w:color w:val="000000"/>
        </w:rPr>
      </w:pPr>
      <w:r>
        <w:rPr>
          <w:rFonts w:ascii="Times New Roman" w:hAnsi="Times New Roman" w:cs="Times New Roman"/>
          <w:sz w:val="22"/>
          <w:szCs w:val="22"/>
        </w:rPr>
        <w:t>No caso de desconexão com o Pregoeiro, no decorrer da etapa competitiva do Pregão, o sistema eletrônico poderá permanecer acessível aos licitantes para a recepção dos lances.</w:t>
      </w:r>
    </w:p>
    <w:p w:rsidR="002C0C87" w:rsidRDefault="006D2EFC">
      <w:pPr>
        <w:numPr>
          <w:ilvl w:val="1"/>
          <w:numId w:val="3"/>
        </w:numPr>
        <w:jc w:val="both"/>
        <w:rPr>
          <w:color w:val="000000"/>
        </w:rPr>
      </w:pPr>
      <w:r>
        <w:rPr>
          <w:rFonts w:ascii="Times New Roman" w:hAnsi="Times New Roman" w:cs="Times New Roman"/>
          <w:sz w:val="22"/>
          <w:szCs w:val="22"/>
        </w:rPr>
        <w:t xml:space="preserve">Quando a desconexão do sistema eletrônico para o pregoeiro persistir por tempo superior a dez minutos, a sessão pública será suspensa e reiniciada somente </w:t>
      </w:r>
      <w:proofErr w:type="gramStart"/>
      <w:r>
        <w:rPr>
          <w:rFonts w:ascii="Times New Roman" w:hAnsi="Times New Roman" w:cs="Times New Roman"/>
          <w:sz w:val="22"/>
          <w:szCs w:val="22"/>
        </w:rPr>
        <w:t>após</w:t>
      </w:r>
      <w:proofErr w:type="gramEnd"/>
      <w:r>
        <w:rPr>
          <w:rFonts w:ascii="Times New Roman" w:hAnsi="Times New Roman" w:cs="Times New Roman"/>
          <w:sz w:val="22"/>
          <w:szCs w:val="22"/>
        </w:rPr>
        <w:t xml:space="preserve"> decorridas vinte e quatro horas da comunicação do fato pelo Pregoeiro aos participantes, no sítio eletrônico utilizado para divulgação. </w:t>
      </w:r>
    </w:p>
    <w:p w:rsidR="002C0C87" w:rsidRDefault="006D2EFC">
      <w:pPr>
        <w:numPr>
          <w:ilvl w:val="1"/>
          <w:numId w:val="3"/>
        </w:numPr>
        <w:jc w:val="both"/>
        <w:rPr>
          <w:color w:val="000000"/>
        </w:rPr>
      </w:pPr>
      <w:r>
        <w:rPr>
          <w:rFonts w:ascii="Times New Roman" w:hAnsi="Times New Roman" w:cs="Times New Roman"/>
          <w:sz w:val="22"/>
          <w:szCs w:val="22"/>
        </w:rPr>
        <w:t>O critério de julgamento adotado será o maior desconto, conforme definido neste Edital e seus anexos.</w:t>
      </w:r>
    </w:p>
    <w:p w:rsidR="002C0C87" w:rsidRDefault="006D2EFC">
      <w:pPr>
        <w:numPr>
          <w:ilvl w:val="1"/>
          <w:numId w:val="3"/>
        </w:numPr>
        <w:jc w:val="both"/>
        <w:rPr>
          <w:color w:val="000000"/>
        </w:rPr>
      </w:pPr>
      <w:r>
        <w:rPr>
          <w:rFonts w:ascii="Times New Roman" w:hAnsi="Times New Roman" w:cs="Times New Roman"/>
          <w:sz w:val="22"/>
          <w:szCs w:val="22"/>
        </w:rPr>
        <w:t>Caso o licitante não apresente lances, concorrerá com o valor de sua proposta.</w:t>
      </w:r>
    </w:p>
    <w:p w:rsidR="002C0C87" w:rsidRDefault="006D2EFC">
      <w:pPr>
        <w:numPr>
          <w:ilvl w:val="1"/>
          <w:numId w:val="3"/>
        </w:numPr>
        <w:jc w:val="both"/>
        <w:rPr>
          <w:color w:val="000000"/>
        </w:rPr>
      </w:pPr>
      <w:r>
        <w:rPr>
          <w:rFonts w:ascii="Times New Roman" w:hAnsi="Times New Roman" w:cs="Times New Roman"/>
          <w:sz w:val="22"/>
          <w:szCs w:val="22"/>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imes New Roman" w:hAnsi="Times New Roman" w:cs="Times New Roman"/>
          <w:sz w:val="22"/>
          <w:szCs w:val="22"/>
        </w:rPr>
        <w:t>as</w:t>
      </w:r>
      <w:proofErr w:type="gramEnd"/>
      <w:r>
        <w:rPr>
          <w:rFonts w:ascii="Times New Roman" w:hAnsi="Times New Roman" w:cs="Times New Roman"/>
          <w:sz w:val="22"/>
          <w:szCs w:val="22"/>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44 e 45 da LC nº 123, de 2006, regulamentada pelo Decreto nº 8.538, de 2015.</w:t>
      </w:r>
    </w:p>
    <w:p w:rsidR="002C0C87" w:rsidRDefault="006D2EFC">
      <w:pPr>
        <w:numPr>
          <w:ilvl w:val="1"/>
          <w:numId w:val="3"/>
        </w:numPr>
        <w:jc w:val="both"/>
        <w:rPr>
          <w:color w:val="000000"/>
        </w:rPr>
      </w:pPr>
      <w:r>
        <w:rPr>
          <w:rFonts w:ascii="Times New Roman" w:hAnsi="Times New Roman" w:cs="Times New Roman"/>
          <w:sz w:val="22"/>
          <w:szCs w:val="22"/>
        </w:rPr>
        <w:t>Nessas condições, as propostas de microempresas e empresas de pequeno porte que se encontrarem na faixa de até 5% (cinco por cento) acima da melhor proposta</w:t>
      </w:r>
      <w:proofErr w:type="gramStart"/>
      <w:r>
        <w:rPr>
          <w:rFonts w:ascii="Times New Roman" w:hAnsi="Times New Roman" w:cs="Times New Roman"/>
          <w:sz w:val="22"/>
          <w:szCs w:val="22"/>
        </w:rPr>
        <w:t xml:space="preserve"> ou melhor</w:t>
      </w:r>
      <w:proofErr w:type="gramEnd"/>
      <w:r>
        <w:rPr>
          <w:rFonts w:ascii="Times New Roman" w:hAnsi="Times New Roman" w:cs="Times New Roman"/>
          <w:sz w:val="22"/>
          <w:szCs w:val="22"/>
        </w:rPr>
        <w:t xml:space="preserve"> lance serão consideradas empatadas com a primeira colocada.</w:t>
      </w:r>
    </w:p>
    <w:p w:rsidR="002C0C87" w:rsidRDefault="006D2EFC">
      <w:pPr>
        <w:numPr>
          <w:ilvl w:val="1"/>
          <w:numId w:val="3"/>
        </w:numPr>
        <w:jc w:val="both"/>
        <w:rPr>
          <w:color w:val="000000"/>
        </w:rPr>
      </w:pPr>
      <w:r>
        <w:rPr>
          <w:rFonts w:ascii="Times New Roman" w:hAnsi="Times New Roman" w:cs="Times New Roman"/>
          <w:sz w:val="22"/>
          <w:szCs w:val="22"/>
        </w:rPr>
        <w:t xml:space="preserve">A melhor classificada nos termos do item anterior terá o direito de encaminhar uma última oferta para desempate, obrigatoriamente em valor inferior ao da primeira colocada, no prazo de </w:t>
      </w:r>
      <w:proofErr w:type="gramStart"/>
      <w:r>
        <w:rPr>
          <w:rFonts w:ascii="Times New Roman" w:hAnsi="Times New Roman" w:cs="Times New Roman"/>
          <w:sz w:val="22"/>
          <w:szCs w:val="22"/>
        </w:rPr>
        <w:t>5</w:t>
      </w:r>
      <w:proofErr w:type="gramEnd"/>
      <w:r>
        <w:rPr>
          <w:rFonts w:ascii="Times New Roman" w:hAnsi="Times New Roman" w:cs="Times New Roman"/>
          <w:sz w:val="22"/>
          <w:szCs w:val="22"/>
        </w:rPr>
        <w:t xml:space="preserve"> (cinco) minutos controlados pelo sistema, contados após a comunicação automática para tanto.</w:t>
      </w:r>
    </w:p>
    <w:p w:rsidR="002C0C87" w:rsidRDefault="006D2EFC">
      <w:pPr>
        <w:numPr>
          <w:ilvl w:val="1"/>
          <w:numId w:val="3"/>
        </w:numPr>
        <w:jc w:val="both"/>
        <w:rPr>
          <w:color w:val="000000"/>
        </w:rPr>
      </w:pPr>
      <w:r>
        <w:rPr>
          <w:rFonts w:ascii="Times New Roman" w:hAnsi="Times New Roman" w:cs="Times New Roman"/>
          <w:sz w:val="22"/>
          <w:szCs w:val="22"/>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C0C87" w:rsidRDefault="006D2EFC">
      <w:pPr>
        <w:numPr>
          <w:ilvl w:val="1"/>
          <w:numId w:val="3"/>
        </w:numPr>
        <w:jc w:val="both"/>
        <w:rPr>
          <w:color w:val="000000"/>
        </w:rPr>
      </w:pPr>
      <w:r>
        <w:rPr>
          <w:rFonts w:ascii="Times New Roman" w:hAnsi="Times New Roman"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C0C87" w:rsidRDefault="006D2EFC">
      <w:pPr>
        <w:numPr>
          <w:ilvl w:val="1"/>
          <w:numId w:val="3"/>
        </w:numPr>
        <w:jc w:val="both"/>
        <w:rPr>
          <w:color w:val="000000"/>
        </w:rPr>
      </w:pPr>
      <w:r>
        <w:rPr>
          <w:rFonts w:ascii="Times New Roman" w:hAnsi="Times New Roman" w:cs="Times New Roman"/>
          <w:sz w:val="22"/>
          <w:szCs w:val="22"/>
        </w:rPr>
        <w:t xml:space="preserve">Só poderá haver empate entre propostas iguais (não seguidas de lances), ou entre lances finais da fase fechada do modo de disputa aberto e fechado. </w:t>
      </w:r>
    </w:p>
    <w:p w:rsidR="002C0C87" w:rsidRDefault="006D2EFC">
      <w:pPr>
        <w:numPr>
          <w:ilvl w:val="1"/>
          <w:numId w:val="3"/>
        </w:numPr>
        <w:jc w:val="both"/>
        <w:rPr>
          <w:color w:val="000000"/>
        </w:rPr>
      </w:pPr>
      <w:r>
        <w:rPr>
          <w:rFonts w:ascii="Times New Roman" w:hAnsi="Times New Roman" w:cs="Times New Roman"/>
          <w:sz w:val="22"/>
          <w:szCs w:val="22"/>
        </w:rPr>
        <w:t>Havendo eventual empate entre propostas ou lances, o critério de desempate será aquele previsto no art. 3º, § 2º, da Lei nº 8.666, de 1993, assegurando-se a preferência, sucessivamente, ao objeto executado:</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lastRenderedPageBreak/>
        <w:t>por</w:t>
      </w:r>
      <w:proofErr w:type="gramEnd"/>
      <w:r>
        <w:rPr>
          <w:rFonts w:ascii="Times New Roman" w:hAnsi="Times New Roman" w:cs="Times New Roman"/>
          <w:sz w:val="22"/>
          <w:szCs w:val="22"/>
        </w:rPr>
        <w:t xml:space="preserve"> empresas brasileiras;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por</w:t>
      </w:r>
      <w:proofErr w:type="gramEnd"/>
      <w:r>
        <w:rPr>
          <w:rFonts w:ascii="Times New Roman" w:hAnsi="Times New Roman" w:cs="Times New Roman"/>
          <w:sz w:val="22"/>
          <w:szCs w:val="22"/>
        </w:rPr>
        <w:t xml:space="preserve"> empresas que invistam em pesquisa e no desenvolvimento de tecnologia no País;</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por</w:t>
      </w:r>
      <w:proofErr w:type="gramEnd"/>
      <w:r>
        <w:rPr>
          <w:rFonts w:ascii="Times New Roman" w:hAnsi="Times New Roman" w:cs="Times New Roman"/>
          <w:sz w:val="22"/>
          <w:szCs w:val="22"/>
        </w:rPr>
        <w:t xml:space="preserve"> empresas que comprovem cumprimento de reserva de cargos prevista em lei para pessoa com deficiência ou para reabilitado da Previdência Social e que atendam às regras de acessibilidade previstas na legislação.</w:t>
      </w:r>
    </w:p>
    <w:p w:rsidR="002C0C87" w:rsidRDefault="006D2EFC">
      <w:pPr>
        <w:numPr>
          <w:ilvl w:val="1"/>
          <w:numId w:val="3"/>
        </w:numPr>
        <w:jc w:val="both"/>
        <w:rPr>
          <w:color w:val="000000"/>
        </w:rPr>
      </w:pPr>
      <w:r>
        <w:rPr>
          <w:rFonts w:ascii="Times New Roman" w:hAnsi="Times New Roman" w:cs="Times New Roman"/>
          <w:sz w:val="22"/>
          <w:szCs w:val="22"/>
        </w:rPr>
        <w:t xml:space="preserve">Persistindo o empate, a proposta vencedora será sorteada pelo sistema eletrônico dentre as propostas ou os lances empatados. </w:t>
      </w:r>
    </w:p>
    <w:p w:rsidR="002C0C87" w:rsidRDefault="006D2EFC">
      <w:pPr>
        <w:numPr>
          <w:ilvl w:val="1"/>
          <w:numId w:val="3"/>
        </w:numPr>
        <w:jc w:val="both"/>
        <w:rPr>
          <w:color w:val="000000"/>
        </w:rPr>
      </w:pPr>
      <w:r>
        <w:rPr>
          <w:rFonts w:ascii="Times New Roman" w:hAnsi="Times New Roman" w:cs="Times New Roman"/>
          <w:sz w:val="22"/>
          <w:szCs w:val="22"/>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2C0C87" w:rsidRDefault="006D2EFC">
      <w:pPr>
        <w:numPr>
          <w:ilvl w:val="2"/>
          <w:numId w:val="3"/>
        </w:numPr>
        <w:ind w:left="567" w:firstLine="0"/>
        <w:jc w:val="both"/>
        <w:rPr>
          <w:color w:val="000000"/>
        </w:rPr>
      </w:pPr>
      <w:r>
        <w:rPr>
          <w:rFonts w:ascii="Times New Roman" w:hAnsi="Times New Roman" w:cs="Times New Roman"/>
          <w:sz w:val="22"/>
          <w:szCs w:val="22"/>
        </w:rPr>
        <w:t>A negociação será realizada por meio do sistema, podendo ser acompanhada pelos demais licitantes.</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O pregoeiro solicitará ao licitante melhor classificado que, no prazo de 04 (quatro) horas, envie a proposta adequada ao último lance ofertado após a negociação realizada, acompanhada, se for o caso, dos documentos complementares, quando necessários à confirmação daqueles exigidos neste Edital e já apresentados. </w:t>
      </w:r>
    </w:p>
    <w:p w:rsidR="002C0C87" w:rsidRDefault="006D2EFC">
      <w:pPr>
        <w:numPr>
          <w:ilvl w:val="3"/>
          <w:numId w:val="3"/>
        </w:numPr>
        <w:ind w:left="1134" w:firstLine="0"/>
        <w:jc w:val="both"/>
        <w:rPr>
          <w:color w:val="000000"/>
        </w:rPr>
      </w:pPr>
      <w:r>
        <w:rPr>
          <w:rFonts w:ascii="Times New Roman" w:hAnsi="Times New Roman" w:cs="Times New Roman"/>
          <w:sz w:val="22"/>
          <w:szCs w:val="22"/>
        </w:rPr>
        <w:t xml:space="preserve">Na contagem do prazo acima, não será levada em conta o horário não comercial, entre </w:t>
      </w:r>
      <w:proofErr w:type="gramStart"/>
      <w:r>
        <w:rPr>
          <w:rFonts w:ascii="Times New Roman" w:hAnsi="Times New Roman" w:cs="Times New Roman"/>
          <w:sz w:val="22"/>
          <w:szCs w:val="22"/>
        </w:rPr>
        <w:t>11:30</w:t>
      </w:r>
      <w:proofErr w:type="gramEnd"/>
      <w:r>
        <w:rPr>
          <w:rFonts w:ascii="Times New Roman" w:hAnsi="Times New Roman" w:cs="Times New Roman"/>
          <w:sz w:val="22"/>
          <w:szCs w:val="22"/>
        </w:rPr>
        <w:t xml:space="preserve"> horas e 13:30 horas ou entre 17:00 horas e 08:00 horas do dia seguinte.</w:t>
      </w:r>
    </w:p>
    <w:p w:rsidR="002C0C87" w:rsidRDefault="006D2EFC">
      <w:pPr>
        <w:numPr>
          <w:ilvl w:val="2"/>
          <w:numId w:val="3"/>
        </w:numPr>
        <w:ind w:left="567" w:firstLine="0"/>
        <w:jc w:val="both"/>
        <w:rPr>
          <w:color w:val="000000"/>
        </w:rPr>
      </w:pPr>
      <w:r>
        <w:rPr>
          <w:rFonts w:ascii="Times New Roman" w:hAnsi="Times New Roman" w:cs="Times New Roman"/>
          <w:sz w:val="22"/>
          <w:szCs w:val="22"/>
        </w:rPr>
        <w:t>É facultado ao pregoeiro prorrogar o prazo estabelecido, a partir de solicitação fundamentada feita no chat pelo licitante, antes de findo o prazo.</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Após a negociação do preço, o Pregoeiro iniciará a fase de aceitação e julgamento da proposta.</w:t>
      </w:r>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rPr>
          <w:color w:val="000000"/>
        </w:rPr>
      </w:pPr>
      <w:r>
        <w:rPr>
          <w:rFonts w:ascii="Times New Roman" w:hAnsi="Times New Roman" w:cs="Times New Roman"/>
          <w:b/>
          <w:sz w:val="22"/>
          <w:szCs w:val="22"/>
        </w:rPr>
        <w:t>DA ACEITABILIDADE DA PROPOSTA VENCEDORA.</w:t>
      </w:r>
    </w:p>
    <w:p w:rsidR="002C0C87" w:rsidRDefault="002C0C87">
      <w:pPr>
        <w:jc w:val="both"/>
        <w:rPr>
          <w:rFonts w:ascii="Times New Roman" w:hAnsi="Times New Roman" w:cs="Times New Roman"/>
          <w:sz w:val="22"/>
          <w:szCs w:val="22"/>
        </w:rPr>
      </w:pPr>
    </w:p>
    <w:p w:rsidR="002C0C87" w:rsidRDefault="006D2EFC">
      <w:pPr>
        <w:numPr>
          <w:ilvl w:val="1"/>
          <w:numId w:val="3"/>
        </w:numPr>
        <w:jc w:val="both"/>
        <w:rPr>
          <w:color w:val="000000"/>
        </w:rPr>
      </w:pPr>
      <w:r>
        <w:rPr>
          <w:rFonts w:ascii="Times New Roman" w:hAnsi="Times New Roman" w:cs="Times New Roman"/>
          <w:sz w:val="22"/>
          <w:szCs w:val="22"/>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2C0C87" w:rsidRDefault="006D2EFC">
      <w:pPr>
        <w:numPr>
          <w:ilvl w:val="1"/>
          <w:numId w:val="3"/>
        </w:numPr>
        <w:jc w:val="both"/>
        <w:rPr>
          <w:color w:val="000000"/>
        </w:rPr>
      </w:pPr>
      <w:r>
        <w:rPr>
          <w:rFonts w:ascii="Times New Roman" w:hAnsi="Times New Roman" w:cs="Times New Roman"/>
          <w:sz w:val="22"/>
          <w:szCs w:val="22"/>
        </w:rPr>
        <w:t>A análise da exequibilidade da proposta de preços deverá ser realizada com o auxílio da proposta da cesta de produtos, a ser preenchida pelo licitante em relação à sua proposta final, conforme anexo deste Edital.</w:t>
      </w:r>
    </w:p>
    <w:p w:rsidR="002C0C87" w:rsidRDefault="006D2EFC">
      <w:pPr>
        <w:numPr>
          <w:ilvl w:val="1"/>
          <w:numId w:val="3"/>
        </w:numPr>
        <w:jc w:val="both"/>
        <w:rPr>
          <w:color w:val="000000"/>
        </w:rPr>
      </w:pPr>
      <w:r>
        <w:rPr>
          <w:rFonts w:ascii="Times New Roman" w:hAnsi="Times New Roman" w:cs="Times New Roman"/>
          <w:sz w:val="22"/>
          <w:szCs w:val="22"/>
        </w:rPr>
        <w:t xml:space="preserve">A inexequibilidade dos valores referentes a itens isolados da proposta da cesta de produtos não caracteriza motivo suficiente para a desclassificação da proposta, desde que não contrariem exigências legais. </w:t>
      </w:r>
    </w:p>
    <w:p w:rsidR="002C0C87" w:rsidRDefault="006D2EFC">
      <w:pPr>
        <w:numPr>
          <w:ilvl w:val="1"/>
          <w:numId w:val="3"/>
        </w:numPr>
        <w:jc w:val="both"/>
        <w:rPr>
          <w:color w:val="000000"/>
        </w:rPr>
      </w:pPr>
      <w:bookmarkStart w:id="3" w:name="bookmark=id.1fob9te" w:colFirst="0" w:colLast="0"/>
      <w:bookmarkEnd w:id="3"/>
      <w:r>
        <w:rPr>
          <w:rFonts w:ascii="Times New Roman" w:hAnsi="Times New Roman" w:cs="Times New Roman"/>
          <w:sz w:val="22"/>
          <w:szCs w:val="22"/>
        </w:rPr>
        <w:t xml:space="preserve">Será desclassificada a proposta ou o lance vencedor, nos termos do item 9.1 do Anexo VII-A da In SEGES/MP n. 5/2017, que: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estiver em conformidade com os requisitos estabelecidos neste edital;</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contenha</w:t>
      </w:r>
      <w:proofErr w:type="gramEnd"/>
      <w:r>
        <w:rPr>
          <w:rFonts w:ascii="Times New Roman" w:hAnsi="Times New Roman" w:cs="Times New Roman"/>
          <w:sz w:val="22"/>
          <w:szCs w:val="22"/>
        </w:rPr>
        <w:t xml:space="preserve"> vício insanável ou ilegalidade;</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apresente as especificações técnicas exigidas pelo Termo de Referência;</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preço final superior ao preço máximo fixado (Acórdão nº 1455/2018 -TCU - Plenário), percentual de desconto inferior ao mínimo exigido, ou que apresentar preço manifestamente inexequível.</w:t>
      </w:r>
    </w:p>
    <w:p w:rsidR="002C0C87" w:rsidRDefault="006D2EFC">
      <w:pPr>
        <w:numPr>
          <w:ilvl w:val="3"/>
          <w:numId w:val="3"/>
        </w:numPr>
        <w:ind w:left="1134" w:firstLine="0"/>
        <w:jc w:val="both"/>
        <w:rPr>
          <w:color w:val="000000"/>
        </w:rPr>
      </w:pPr>
      <w:r>
        <w:rPr>
          <w:rFonts w:ascii="Times New Roman" w:hAnsi="Times New Roman" w:cs="Times New Roman"/>
          <w:sz w:val="22"/>
          <w:szCs w:val="22"/>
        </w:rPr>
        <w:t>Quando o licitante não conseguir comprovar que possui ou possuirá recursos suficientes para executar a contento o objeto, será considerada inexequível a proposta de preços ou menor lance que:</w:t>
      </w:r>
    </w:p>
    <w:p w:rsidR="002C0C87" w:rsidRDefault="006D2EFC">
      <w:pPr>
        <w:numPr>
          <w:ilvl w:val="4"/>
          <w:numId w:val="3"/>
        </w:numPr>
        <w:ind w:left="1701" w:firstLine="0"/>
        <w:jc w:val="both"/>
        <w:rPr>
          <w:color w:val="000000"/>
        </w:rPr>
      </w:pPr>
      <w:proofErr w:type="gramStart"/>
      <w:r>
        <w:rPr>
          <w:rFonts w:ascii="Times New Roman" w:hAnsi="Times New Roman" w:cs="Times New Roman"/>
          <w:sz w:val="22"/>
          <w:szCs w:val="22"/>
        </w:rPr>
        <w:t>for</w:t>
      </w:r>
      <w:proofErr w:type="gramEnd"/>
      <w:r>
        <w:rPr>
          <w:rFonts w:ascii="Times New Roman" w:hAnsi="Times New Roman" w:cs="Times New Roman"/>
          <w:sz w:val="22"/>
          <w:szCs w:val="22"/>
        </w:rPr>
        <w:t xml:space="preserve"> insuficiente para a cobertura dos custos da contratação, apresente preços global ou unitários simbólicos, irrisórios ou de valor zero, incompatíveis com os preços dos insumos e salários de mercado, acrescidos dos respectivos </w:t>
      </w:r>
      <w:r>
        <w:rPr>
          <w:rFonts w:ascii="Times New Roman" w:hAnsi="Times New Roman" w:cs="Times New Roman"/>
          <w:sz w:val="22"/>
          <w:szCs w:val="22"/>
        </w:rPr>
        <w:lastRenderedPageBreak/>
        <w:t>encargos, ainda que o ato convocatório da licitação não tenha estabelecido limites mínimos, exceto quando se referirem a materiais e instalações de propriedade do próprio licitante, para os quais ele renuncie a parcela ou à totalidade da remuneração.</w:t>
      </w:r>
    </w:p>
    <w:p w:rsidR="002C0C87" w:rsidRDefault="006D2EFC">
      <w:pPr>
        <w:numPr>
          <w:ilvl w:val="4"/>
          <w:numId w:val="3"/>
        </w:numPr>
        <w:ind w:left="1701" w:firstLine="0"/>
        <w:jc w:val="both"/>
        <w:rPr>
          <w:rFonts w:ascii="Times New Roman" w:hAnsi="Times New Roman" w:cs="Times New Roman"/>
          <w:sz w:val="22"/>
          <w:szCs w:val="22"/>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um ou mais valores da proposta de custo que sejam inferiores àqueles fixados em instrumentos de caráter normativo obrigatório, tais como leis, medidas provisórias e convenções coletivas de trabalho vigentes.</w:t>
      </w:r>
    </w:p>
    <w:p w:rsidR="002C0C87" w:rsidRDefault="006D2EFC">
      <w:pPr>
        <w:numPr>
          <w:ilvl w:val="1"/>
          <w:numId w:val="3"/>
        </w:numPr>
        <w:jc w:val="both"/>
      </w:pPr>
      <w:r>
        <w:rPr>
          <w:rFonts w:ascii="Times New Roman" w:hAnsi="Times New Roman" w:cs="Times New Roman"/>
          <w:sz w:val="22"/>
          <w:szCs w:val="22"/>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2C0C87" w:rsidRDefault="006D2EFC">
      <w:pPr>
        <w:numPr>
          <w:ilvl w:val="1"/>
          <w:numId w:val="3"/>
        </w:numPr>
        <w:jc w:val="both"/>
      </w:pPr>
      <w:r>
        <w:rPr>
          <w:rFonts w:ascii="Times New Roman" w:hAnsi="Times New Roman" w:cs="Times New Roman"/>
          <w:sz w:val="22"/>
          <w:szCs w:val="22"/>
        </w:rPr>
        <w:t>Quando o licitante apresentar preço final inferior a 30% (trinta por cento) da média dos preços ofertados para o mesmo item, e a inexequibilidade da proposta não for flagrante e evidente pela análise da proposta, não sendo possível a sua imediata desclassificação, será obrigatória a realização de diligências para aferir a legalidade e exequibilidade da proposta.</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Qualquer interessado poderá requerer que se realizem diligências para aferir a exequibilidade e a legalidade das propostas, devendo apresentar as provas ou os indícios que fundamentam a suspeita.</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color w:val="000000"/>
          <w:sz w:val="22"/>
          <w:szCs w:val="22"/>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w:t>
      </w:r>
      <w:proofErr w:type="gramStart"/>
      <w:r>
        <w:rPr>
          <w:rFonts w:ascii="Times New Roman" w:hAnsi="Times New Roman" w:cs="Times New Roman"/>
          <w:color w:val="000000"/>
          <w:sz w:val="22"/>
          <w:szCs w:val="22"/>
        </w:rPr>
        <w:t>ata</w:t>
      </w:r>
      <w:proofErr w:type="gramEnd"/>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 xml:space="preserve">O Pregoeiro poderá convocar o licitante para enviar documento digital complementar, por meio de funcionalidade disponível no sistema, no prazo de 24 (vinte e quatro),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não aceitação da proposta.</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É facultado ao pregoeiro prorrogar o prazo estabelecido, a partir de solicitação fundamentada feita no chat pelo licitante, antes de findo o </w:t>
      </w:r>
      <w:proofErr w:type="gramStart"/>
      <w:r>
        <w:rPr>
          <w:rFonts w:ascii="Times New Roman" w:hAnsi="Times New Roman" w:cs="Times New Roman"/>
          <w:sz w:val="22"/>
          <w:szCs w:val="22"/>
        </w:rPr>
        <w:t>prazo</w:t>
      </w:r>
      <w:proofErr w:type="gramEnd"/>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Dentre os documentos passíveis de solicitação pelo Pregoeiro, destacam-se </w:t>
      </w:r>
      <w:proofErr w:type="gramStart"/>
      <w:r>
        <w:rPr>
          <w:rFonts w:ascii="Times New Roman" w:hAnsi="Times New Roman" w:cs="Times New Roman"/>
          <w:sz w:val="22"/>
          <w:szCs w:val="22"/>
        </w:rPr>
        <w:t>a proposta da cesta de produtos readequadas com o valor final ofertado</w:t>
      </w:r>
      <w:proofErr w:type="gramEnd"/>
      <w:r>
        <w:rPr>
          <w:rFonts w:ascii="Times New Roman" w:hAnsi="Times New Roman" w:cs="Times New Roman"/>
          <w:sz w:val="22"/>
          <w:szCs w:val="22"/>
        </w:rPr>
        <w:t>.</w:t>
      </w:r>
    </w:p>
    <w:p w:rsidR="002C0C87" w:rsidRDefault="006D2EFC">
      <w:pPr>
        <w:numPr>
          <w:ilvl w:val="1"/>
          <w:numId w:val="3"/>
        </w:numPr>
        <w:jc w:val="both"/>
        <w:rPr>
          <w:color w:val="000000"/>
        </w:rPr>
      </w:pPr>
      <w:r>
        <w:rPr>
          <w:rFonts w:ascii="Times New Roman" w:hAnsi="Times New Roman" w:cs="Times New Roman"/>
          <w:sz w:val="22"/>
          <w:szCs w:val="22"/>
        </w:rPr>
        <w:t>Todos os dados informados pelo licitante em sua proposta deverão refletir com fidelidade os custos especificados e a margem de lucro pretendida.</w:t>
      </w:r>
    </w:p>
    <w:p w:rsidR="002C0C87" w:rsidRDefault="006D2EFC">
      <w:pPr>
        <w:numPr>
          <w:ilvl w:val="1"/>
          <w:numId w:val="3"/>
        </w:numPr>
        <w:jc w:val="both"/>
        <w:rPr>
          <w:color w:val="000000"/>
        </w:rPr>
      </w:pPr>
      <w:r>
        <w:rPr>
          <w:rFonts w:ascii="Times New Roman" w:hAnsi="Times New Roman" w:cs="Times New Roman"/>
          <w:sz w:val="22"/>
          <w:szCs w:val="22"/>
        </w:rPr>
        <w:t xml:space="preserve"> O Pregoeiro analisará a compatibilidade dos preços unitários apresentados na proposta da cesta de produtos com aqueles praticados no mercado em relação aos insumos e também quanto aos salários das categorias envolvidas na contratação;</w:t>
      </w:r>
    </w:p>
    <w:p w:rsidR="002C0C87" w:rsidRDefault="006D2EFC">
      <w:pPr>
        <w:numPr>
          <w:ilvl w:val="1"/>
          <w:numId w:val="3"/>
        </w:numPr>
        <w:jc w:val="both"/>
        <w:rPr>
          <w:color w:val="000000"/>
        </w:rPr>
      </w:pPr>
      <w:r>
        <w:rPr>
          <w:rFonts w:ascii="Times New Roman" w:hAnsi="Times New Roman" w:cs="Times New Roman"/>
          <w:sz w:val="22"/>
          <w:szCs w:val="22"/>
        </w:rPr>
        <w:t xml:space="preserve">Erros no preenchimento da proposta </w:t>
      </w:r>
      <w:proofErr w:type="spellStart"/>
      <w:r>
        <w:rPr>
          <w:rFonts w:ascii="Times New Roman" w:hAnsi="Times New Roman" w:cs="Times New Roman"/>
          <w:sz w:val="22"/>
          <w:szCs w:val="22"/>
        </w:rPr>
        <w:t>não</w:t>
      </w:r>
      <w:proofErr w:type="spellEnd"/>
      <w:r>
        <w:rPr>
          <w:rFonts w:ascii="Times New Roman" w:hAnsi="Times New Roman" w:cs="Times New Roman"/>
          <w:sz w:val="22"/>
          <w:szCs w:val="22"/>
        </w:rPr>
        <w:t xml:space="preserve"> constituem motivo para a desclassificação da proposta. A proposta </w:t>
      </w:r>
      <w:proofErr w:type="spellStart"/>
      <w:r>
        <w:rPr>
          <w:rFonts w:ascii="Times New Roman" w:hAnsi="Times New Roman" w:cs="Times New Roman"/>
          <w:sz w:val="22"/>
          <w:szCs w:val="22"/>
        </w:rPr>
        <w:t>podera</w:t>
      </w:r>
      <w:proofErr w:type="spellEnd"/>
      <w:r>
        <w:rPr>
          <w:rFonts w:ascii="Times New Roman" w:hAnsi="Times New Roman" w:cs="Times New Roman"/>
          <w:sz w:val="22"/>
          <w:szCs w:val="22"/>
        </w:rPr>
        <w:t>́ ser ajustada pelo licitante, no prazo indicado pelo Pregoeiro, desde que não haja majoração do preço.</w:t>
      </w:r>
    </w:p>
    <w:p w:rsidR="002C0C87" w:rsidRDefault="006D2EFC">
      <w:pPr>
        <w:numPr>
          <w:ilvl w:val="2"/>
          <w:numId w:val="3"/>
        </w:numPr>
        <w:ind w:left="567" w:firstLine="0"/>
        <w:jc w:val="both"/>
        <w:rPr>
          <w:color w:val="000000"/>
        </w:rPr>
      </w:pPr>
      <w:r>
        <w:rPr>
          <w:rFonts w:ascii="Times New Roman" w:hAnsi="Times New Roman" w:cs="Times New Roman"/>
          <w:sz w:val="22"/>
          <w:szCs w:val="22"/>
        </w:rPr>
        <w:t>O ajuste de que trata este dispositivo se limita a sanar erros ou falhas que não alterem a substância das propostas;</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Considera-se erro no preenchimento da proposta passível de correção a </w:t>
      </w:r>
      <w:proofErr w:type="spellStart"/>
      <w:r>
        <w:rPr>
          <w:rFonts w:ascii="Times New Roman" w:hAnsi="Times New Roman" w:cs="Times New Roman"/>
          <w:sz w:val="22"/>
          <w:szCs w:val="22"/>
        </w:rPr>
        <w:t>indicação</w:t>
      </w:r>
      <w:proofErr w:type="spellEnd"/>
      <w:r>
        <w:rPr>
          <w:rFonts w:ascii="Times New Roman" w:hAnsi="Times New Roman" w:cs="Times New Roman"/>
          <w:sz w:val="22"/>
          <w:szCs w:val="22"/>
        </w:rPr>
        <w:t xml:space="preserve"> de recolhimento de impostos e </w:t>
      </w:r>
      <w:proofErr w:type="spellStart"/>
      <w:r>
        <w:rPr>
          <w:rFonts w:ascii="Times New Roman" w:hAnsi="Times New Roman" w:cs="Times New Roman"/>
          <w:sz w:val="22"/>
          <w:szCs w:val="22"/>
        </w:rPr>
        <w:t>contribuiçõ</w:t>
      </w:r>
      <w:proofErr w:type="gramStart"/>
      <w:r>
        <w:rPr>
          <w:rFonts w:ascii="Times New Roman" w:hAnsi="Times New Roman" w:cs="Times New Roman"/>
          <w:sz w:val="22"/>
          <w:szCs w:val="22"/>
        </w:rPr>
        <w:t>es</w:t>
      </w:r>
      <w:proofErr w:type="spellEnd"/>
      <w:proofErr w:type="gramEnd"/>
      <w:r>
        <w:rPr>
          <w:rFonts w:ascii="Times New Roman" w:hAnsi="Times New Roman" w:cs="Times New Roman"/>
          <w:sz w:val="22"/>
          <w:szCs w:val="22"/>
        </w:rPr>
        <w:t xml:space="preserve"> na forma do Simples Nacional, quando não cabível esse regime.</w:t>
      </w:r>
    </w:p>
    <w:p w:rsidR="002C0C87" w:rsidRDefault="006D2EFC">
      <w:pPr>
        <w:numPr>
          <w:ilvl w:val="1"/>
          <w:numId w:val="3"/>
        </w:numPr>
        <w:jc w:val="both"/>
        <w:rPr>
          <w:color w:val="000000"/>
        </w:rPr>
      </w:pPr>
      <w:r>
        <w:rPr>
          <w:rFonts w:ascii="Times New Roman" w:hAnsi="Times New Roman" w:cs="Times New Roman"/>
          <w:sz w:val="22"/>
          <w:szCs w:val="22"/>
        </w:rPr>
        <w:t>Para fins de análise da proposta quanto ao cumprimento das especificações do objeto, poderá ser colhida a manifestação escrita do setor requisitante do serviço ou da área especializada no objeto.</w:t>
      </w:r>
    </w:p>
    <w:p w:rsidR="002C0C87" w:rsidRDefault="006D2EFC">
      <w:pPr>
        <w:numPr>
          <w:ilvl w:val="1"/>
          <w:numId w:val="3"/>
        </w:numPr>
        <w:jc w:val="both"/>
        <w:rPr>
          <w:color w:val="000000"/>
        </w:rPr>
      </w:pPr>
      <w:r>
        <w:rPr>
          <w:rFonts w:ascii="Times New Roman" w:hAnsi="Times New Roman" w:cs="Times New Roman"/>
          <w:sz w:val="22"/>
          <w:szCs w:val="22"/>
        </w:rPr>
        <w:t>Se a proposta ou lance vencedor for desclassificado, o Pregoeiro examinará a proposta ou lance subsequente, e, assim sucessivamente, na ordem de classificação.</w:t>
      </w:r>
    </w:p>
    <w:p w:rsidR="002C0C87" w:rsidRDefault="006D2EFC">
      <w:pPr>
        <w:numPr>
          <w:ilvl w:val="1"/>
          <w:numId w:val="3"/>
        </w:numPr>
        <w:jc w:val="both"/>
        <w:rPr>
          <w:color w:val="000000"/>
        </w:rPr>
      </w:pPr>
      <w:r>
        <w:rPr>
          <w:rFonts w:ascii="Times New Roman" w:hAnsi="Times New Roman" w:cs="Times New Roman"/>
          <w:sz w:val="22"/>
          <w:szCs w:val="22"/>
        </w:rPr>
        <w:t>Havendo necessidade, o Pregoeiro suspenderá a sessão, informando no “chat” a nova data e horário para sua continuidade.</w:t>
      </w:r>
    </w:p>
    <w:p w:rsidR="002C0C87" w:rsidRDefault="006D2EFC">
      <w:pPr>
        <w:numPr>
          <w:ilvl w:val="1"/>
          <w:numId w:val="3"/>
        </w:numPr>
        <w:jc w:val="both"/>
        <w:rPr>
          <w:color w:val="000000"/>
        </w:rPr>
      </w:pPr>
      <w:r>
        <w:rPr>
          <w:rFonts w:ascii="Times New Roman" w:hAnsi="Times New Roman" w:cs="Times New Roman"/>
          <w:sz w:val="22"/>
          <w:szCs w:val="22"/>
        </w:rPr>
        <w:t xml:space="preserve">Nos itens não exclusivos para a participação de microempresas e empresas de pequeno porte, sempre que a proposta não for aceita, e antes de o Pregoeiro passar à subsequente, haverá nova </w:t>
      </w:r>
      <w:r>
        <w:rPr>
          <w:rFonts w:ascii="Times New Roman" w:hAnsi="Times New Roman" w:cs="Times New Roman"/>
          <w:sz w:val="22"/>
          <w:szCs w:val="22"/>
        </w:rPr>
        <w:lastRenderedPageBreak/>
        <w:t>verificação, pelo sistema, da eventual ocorrência do empate ficto, previsto nos artigos 44 e 45 da LC nº 123, de 2006, seguindo-se a disciplina antes estabelecida, se for o caso.</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Encerrada a análise quanto à aceitação da proposta, o pregoeiro verificará a habilitação do licitante, observado o disposto neste Edital</w:t>
      </w:r>
      <w:r>
        <w:rPr>
          <w:rFonts w:ascii="Times New Roman" w:hAnsi="Times New Roman" w:cs="Times New Roman"/>
          <w:color w:val="000000"/>
          <w:sz w:val="22"/>
          <w:szCs w:val="22"/>
        </w:rPr>
        <w:t>.</w:t>
      </w:r>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2"/>
        </w:numPr>
        <w:ind w:left="0" w:firstLine="0"/>
        <w:jc w:val="both"/>
      </w:pPr>
      <w:r>
        <w:rPr>
          <w:rFonts w:ascii="Times New Roman" w:hAnsi="Times New Roman" w:cs="Times New Roman"/>
          <w:b/>
          <w:sz w:val="22"/>
          <w:szCs w:val="22"/>
        </w:rPr>
        <w:t xml:space="preserve">DA HABILITAÇÃO </w:t>
      </w:r>
    </w:p>
    <w:p w:rsidR="002C0C87" w:rsidRDefault="006D2EFC">
      <w:pPr>
        <w:numPr>
          <w:ilvl w:val="1"/>
          <w:numId w:val="2"/>
        </w:numPr>
        <w:ind w:left="0" w:firstLine="0"/>
        <w:jc w:val="both"/>
        <w:rPr>
          <w:rFonts w:ascii="Times New Roman" w:hAnsi="Times New Roman" w:cs="Times New Roman"/>
          <w:sz w:val="22"/>
          <w:szCs w:val="22"/>
        </w:rPr>
      </w:pPr>
      <w:r>
        <w:rPr>
          <w:rFonts w:ascii="Times New Roman" w:hAnsi="Times New Roman" w:cs="Times New Roman"/>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2C0C87" w:rsidRDefault="006D2EFC">
      <w:pPr>
        <w:ind w:left="567"/>
        <w:jc w:val="both"/>
        <w:rPr>
          <w:color w:val="000000"/>
        </w:rPr>
      </w:pPr>
      <w:r>
        <w:rPr>
          <w:rFonts w:ascii="Times New Roman" w:hAnsi="Times New Roman" w:cs="Times New Roman"/>
          <w:sz w:val="22"/>
          <w:szCs w:val="22"/>
        </w:rPr>
        <w:t>a) SICAF;</w:t>
      </w:r>
      <w:proofErr w:type="gramStart"/>
      <w:r>
        <w:rPr>
          <w:rFonts w:ascii="Times New Roman" w:hAnsi="Times New Roman" w:cs="Times New Roman"/>
          <w:sz w:val="22"/>
          <w:szCs w:val="22"/>
        </w:rPr>
        <w:t xml:space="preserve">  </w:t>
      </w:r>
    </w:p>
    <w:p w:rsidR="002C0C87" w:rsidRDefault="006D2EFC">
      <w:pPr>
        <w:ind w:left="567"/>
        <w:jc w:val="both"/>
      </w:pPr>
      <w:proofErr w:type="gramEnd"/>
      <w:r>
        <w:rPr>
          <w:rFonts w:ascii="Times New Roman" w:hAnsi="Times New Roman" w:cs="Times New Roman"/>
          <w:sz w:val="22"/>
          <w:szCs w:val="22"/>
        </w:rPr>
        <w:t>b) Cadastro Nacional de Empresas Inidôneas e Suspensas - CEIS, mantido pela Controladoria-Geral da União (</w:t>
      </w:r>
      <w:hyperlink r:id="rId11">
        <w:r>
          <w:rPr>
            <w:rFonts w:ascii="Times New Roman" w:hAnsi="Times New Roman" w:cs="Times New Roman"/>
            <w:color w:val="000080"/>
            <w:sz w:val="22"/>
            <w:szCs w:val="22"/>
            <w:u w:val="single"/>
          </w:rPr>
          <w:t>www.portaldatransparencia.gov.br/ceis</w:t>
        </w:r>
      </w:hyperlink>
      <w:r>
        <w:rPr>
          <w:rFonts w:ascii="Times New Roman" w:hAnsi="Times New Roman" w:cs="Times New Roman"/>
          <w:sz w:val="22"/>
          <w:szCs w:val="22"/>
        </w:rPr>
        <w:t>);</w:t>
      </w:r>
      <w:proofErr w:type="gramStart"/>
      <w:r>
        <w:rPr>
          <w:rFonts w:ascii="Times New Roman" w:hAnsi="Times New Roman" w:cs="Times New Roman"/>
          <w:sz w:val="22"/>
          <w:szCs w:val="22"/>
        </w:rPr>
        <w:t xml:space="preserve">  </w:t>
      </w:r>
    </w:p>
    <w:p w:rsidR="002C0C87" w:rsidRDefault="006D2EFC">
      <w:pPr>
        <w:ind w:left="567"/>
        <w:jc w:val="both"/>
      </w:pPr>
      <w:proofErr w:type="gramEnd"/>
      <w:r>
        <w:rPr>
          <w:rFonts w:ascii="Times New Roman" w:hAnsi="Times New Roman" w:cs="Times New Roman"/>
          <w:sz w:val="22"/>
          <w:szCs w:val="22"/>
        </w:rPr>
        <w:t>c) Cadastro Nacional de Condenações Cíveis por Atos de Improbidade Administrativa, mantido pelo Conselho Nacional de Justiça (</w:t>
      </w:r>
      <w:hyperlink r:id="rId12">
        <w:r>
          <w:rPr>
            <w:rFonts w:ascii="Times New Roman" w:hAnsi="Times New Roman" w:cs="Times New Roman"/>
            <w:color w:val="000080"/>
            <w:sz w:val="22"/>
            <w:szCs w:val="22"/>
            <w:u w:val="single"/>
          </w:rPr>
          <w:t>www.cnj.jus.br/improbidade_adm/consultar_requerido.php</w:t>
        </w:r>
      </w:hyperlink>
      <w:r>
        <w:rPr>
          <w:rFonts w:ascii="Times New Roman" w:hAnsi="Times New Roman" w:cs="Times New Roman"/>
          <w:sz w:val="22"/>
          <w:szCs w:val="22"/>
        </w:rPr>
        <w:t xml:space="preserve">).  </w:t>
      </w:r>
    </w:p>
    <w:p w:rsidR="002C0C87" w:rsidRDefault="006D2EFC">
      <w:pPr>
        <w:ind w:left="567"/>
        <w:jc w:val="both"/>
      </w:pPr>
      <w:r>
        <w:rPr>
          <w:rFonts w:ascii="Times New Roman" w:hAnsi="Times New Roman" w:cs="Times New Roman"/>
          <w:sz w:val="22"/>
          <w:szCs w:val="22"/>
        </w:rPr>
        <w:t xml:space="preserve">d) Lista de Inidôneos, mantida pelo Tribunal de Contas da União - </w:t>
      </w:r>
      <w:proofErr w:type="gramStart"/>
      <w:r>
        <w:rPr>
          <w:rFonts w:ascii="Times New Roman" w:hAnsi="Times New Roman" w:cs="Times New Roman"/>
          <w:sz w:val="22"/>
          <w:szCs w:val="22"/>
        </w:rPr>
        <w:t>TCU(</w:t>
      </w:r>
      <w:proofErr w:type="gramEnd"/>
      <w:r>
        <w:fldChar w:fldCharType="begin"/>
      </w:r>
      <w:r>
        <w:instrText xml:space="preserve"> HYPERLINK "https://contas.tcu.gov.br/ords/f?p=INABILITADO:CERTIDAO:0" \h </w:instrText>
      </w:r>
      <w:r>
        <w:fldChar w:fldCharType="separate"/>
      </w:r>
      <w:r>
        <w:rPr>
          <w:rFonts w:ascii="Times New Roman" w:hAnsi="Times New Roman" w:cs="Times New Roman"/>
          <w:color w:val="000080"/>
          <w:sz w:val="22"/>
          <w:szCs w:val="22"/>
          <w:u w:val="single"/>
        </w:rPr>
        <w:t>https://contas.tcu.gov.br/ords/f?p=INABILITADO:CERTIDAO:0</w:t>
      </w:r>
      <w:r>
        <w:rPr>
          <w:rFonts w:ascii="Times New Roman" w:hAnsi="Times New Roman" w:cs="Times New Roman"/>
          <w:color w:val="000080"/>
          <w:sz w:val="22"/>
          <w:szCs w:val="22"/>
          <w:u w:val="single"/>
        </w:rPr>
        <w:fldChar w:fldCharType="end"/>
      </w:r>
      <w:r>
        <w:rPr>
          <w:rFonts w:ascii="Times New Roman" w:hAnsi="Times New Roman" w:cs="Times New Roman"/>
          <w:sz w:val="22"/>
          <w:szCs w:val="22"/>
        </w:rPr>
        <w:t xml:space="preserve">:); </w:t>
      </w:r>
    </w:p>
    <w:p w:rsidR="002C0C87" w:rsidRDefault="006D2EFC">
      <w:pPr>
        <w:numPr>
          <w:ilvl w:val="2"/>
          <w:numId w:val="2"/>
        </w:numPr>
        <w:ind w:left="567" w:firstLine="0"/>
        <w:jc w:val="both"/>
      </w:pPr>
      <w:r>
        <w:rPr>
          <w:rFonts w:ascii="Times New Roman" w:hAnsi="Times New Roman" w:cs="Times New Roman"/>
          <w:sz w:val="22"/>
          <w:szCs w:val="22"/>
        </w:rPr>
        <w:t xml:space="preserve">Para a consulta de </w:t>
      </w:r>
      <w:proofErr w:type="gramStart"/>
      <w:r>
        <w:rPr>
          <w:rFonts w:ascii="Times New Roman" w:hAnsi="Times New Roman" w:cs="Times New Roman"/>
          <w:sz w:val="22"/>
          <w:szCs w:val="22"/>
        </w:rPr>
        <w:t>licitantes pessoa</w:t>
      </w:r>
      <w:proofErr w:type="gramEnd"/>
      <w:r>
        <w:rPr>
          <w:rFonts w:ascii="Times New Roman" w:hAnsi="Times New Roman" w:cs="Times New Roman"/>
          <w:sz w:val="22"/>
          <w:szCs w:val="22"/>
        </w:rPr>
        <w:t xml:space="preserve"> jurídica poderá haver a substituição das consultas das alíneas “b”, “c” e “d” acima pela Consulta Consolidada de Pessoa Jurídica do TCU (https://certidoesapf.apps.tcu.gov.br/)</w:t>
      </w:r>
    </w:p>
    <w:p w:rsidR="002C0C87" w:rsidRDefault="006D2EFC">
      <w:pPr>
        <w:numPr>
          <w:ilvl w:val="2"/>
          <w:numId w:val="2"/>
        </w:numPr>
        <w:ind w:left="567" w:firstLine="0"/>
        <w:jc w:val="both"/>
        <w:rPr>
          <w:color w:val="000000"/>
        </w:rPr>
      </w:pPr>
      <w:r>
        <w:rPr>
          <w:rFonts w:ascii="Times New Roman" w:hAnsi="Times New Roman" w:cs="Times New Roman"/>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C0C87" w:rsidRDefault="006D2EFC">
      <w:pPr>
        <w:numPr>
          <w:ilvl w:val="3"/>
          <w:numId w:val="2"/>
        </w:numPr>
        <w:ind w:left="1134" w:firstLine="0"/>
        <w:jc w:val="both"/>
      </w:pPr>
      <w:r>
        <w:rPr>
          <w:rFonts w:ascii="Times New Roman" w:hAnsi="Times New Roman" w:cs="Times New Roman"/>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rsidR="002C0C87" w:rsidRDefault="006D2EFC">
      <w:pPr>
        <w:numPr>
          <w:ilvl w:val="4"/>
          <w:numId w:val="2"/>
        </w:numPr>
        <w:ind w:left="1701" w:firstLine="0"/>
        <w:jc w:val="both"/>
      </w:pPr>
      <w:r>
        <w:rPr>
          <w:rFonts w:ascii="Times New Roman" w:hAnsi="Times New Roman" w:cs="Times New Roman"/>
          <w:sz w:val="22"/>
          <w:szCs w:val="22"/>
        </w:rPr>
        <w:t>A tentativa de burla será verificada por meio dos vínculos societários, linhas de fornecimento similares, dentre outros.</w:t>
      </w:r>
    </w:p>
    <w:p w:rsidR="002C0C87" w:rsidRDefault="006D2EFC">
      <w:pPr>
        <w:numPr>
          <w:ilvl w:val="4"/>
          <w:numId w:val="2"/>
        </w:numPr>
        <w:ind w:left="1701" w:firstLine="0"/>
        <w:jc w:val="both"/>
        <w:rPr>
          <w:color w:val="000000"/>
        </w:rPr>
      </w:pPr>
      <w:r>
        <w:rPr>
          <w:rFonts w:ascii="Times New Roman" w:hAnsi="Times New Roman" w:cs="Times New Roman"/>
          <w:sz w:val="22"/>
          <w:szCs w:val="22"/>
        </w:rPr>
        <w:t>O licitante será convocado para manifestação previamente à sua desclassificação.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Constatada a existência de sanção, o Pregoeiro reputará o licitante inabilitado, por falta de condição de participação.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No caso de inabilitação, haverá nova verificação, pelo sistema, da eventual ocorrência do empate ficto, previsto nos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44 e 45 da Lei Complementar nº 123, de 2006, seguindo-se a disciplina antes estabelecida para aceitação da proposta subsequente.</w:t>
      </w:r>
    </w:p>
    <w:p w:rsidR="002C0C87" w:rsidRDefault="006D2EFC">
      <w:pPr>
        <w:numPr>
          <w:ilvl w:val="1"/>
          <w:numId w:val="2"/>
        </w:numPr>
        <w:ind w:left="0" w:firstLine="0"/>
        <w:jc w:val="both"/>
        <w:rPr>
          <w:rFonts w:ascii="Times New Roman" w:hAnsi="Times New Roman" w:cs="Times New Roman"/>
          <w:sz w:val="22"/>
          <w:szCs w:val="22"/>
        </w:rPr>
      </w:pPr>
      <w:r>
        <w:rPr>
          <w:rFonts w:ascii="Times New Roman" w:hAnsi="Times New Roman" w:cs="Times New Roman"/>
          <w:sz w:val="22"/>
          <w:szCs w:val="22"/>
        </w:rPr>
        <w:t>Caso atendidas as condições de participação, a habilitação dos licitantes será verificada por meio do SICAF, nos documentos por ele abrangidos, em relação à habilitação jurídica, à regularidade fiscal e trabalhista, à qualificação econômico-financeira e habilitação técnica, conforme o disposto na Instrução Normativa SEGES/MP nº 03, de 2018.</w:t>
      </w:r>
    </w:p>
    <w:p w:rsidR="002C0C87" w:rsidRDefault="006D2EFC">
      <w:pPr>
        <w:numPr>
          <w:ilvl w:val="2"/>
          <w:numId w:val="2"/>
        </w:numPr>
        <w:ind w:left="567" w:firstLine="0"/>
        <w:jc w:val="both"/>
        <w:rPr>
          <w:color w:val="000000"/>
        </w:rPr>
      </w:pPr>
      <w:r>
        <w:rPr>
          <w:rFonts w:ascii="Times New Roman" w:hAnsi="Times New Roman" w:cs="Times New Roman"/>
          <w:sz w:val="22"/>
          <w:szCs w:val="22"/>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É dever </w:t>
      </w:r>
      <w:proofErr w:type="gramStart"/>
      <w:r>
        <w:rPr>
          <w:rFonts w:ascii="Times New Roman" w:hAnsi="Times New Roman" w:cs="Times New Roman"/>
          <w:sz w:val="22"/>
          <w:szCs w:val="22"/>
        </w:rPr>
        <w:t>do licitante atualizar</w:t>
      </w:r>
      <w:proofErr w:type="gramEnd"/>
      <w:r>
        <w:rPr>
          <w:rFonts w:ascii="Times New Roman" w:hAnsi="Times New Roman" w:cs="Times New Roman"/>
          <w:sz w:val="22"/>
          <w:szCs w:val="22"/>
        </w:rPr>
        <w:t xml:space="preserve"> previamente as comprovações constantes do SICAF para que estejam vigentes na data da abertura da sessão pública, ou encaminhar, em conjunto com a apresentação da proposta, a respectiva documentação atualizada.</w:t>
      </w:r>
    </w:p>
    <w:p w:rsidR="002C0C87" w:rsidRDefault="006D2EFC">
      <w:pPr>
        <w:numPr>
          <w:ilvl w:val="2"/>
          <w:numId w:val="2"/>
        </w:numPr>
        <w:ind w:left="567" w:firstLine="0"/>
        <w:jc w:val="both"/>
        <w:rPr>
          <w:color w:val="000000"/>
        </w:rPr>
      </w:pPr>
      <w:r>
        <w:rPr>
          <w:rFonts w:ascii="Times New Roman" w:hAnsi="Times New Roman" w:cs="Times New Roman"/>
          <w:sz w:val="22"/>
          <w:szCs w:val="22"/>
        </w:rPr>
        <w:lastRenderedPageBreak/>
        <w:t xml:space="preserve">O descumprimento do subitem acima implicará a inabilitação do licitante, exceto se a consulta aos sítios eletrônicos oficiais emissores de certidões feita pelo Pregoeiro lograr êxito em encontrar a(s) </w:t>
      </w:r>
      <w:proofErr w:type="gramStart"/>
      <w:r>
        <w:rPr>
          <w:rFonts w:ascii="Times New Roman" w:hAnsi="Times New Roman" w:cs="Times New Roman"/>
          <w:sz w:val="22"/>
          <w:szCs w:val="22"/>
        </w:rPr>
        <w:t>certidão(</w:t>
      </w:r>
      <w:proofErr w:type="spellStart"/>
      <w:proofErr w:type="gramEnd"/>
      <w:r>
        <w:rPr>
          <w:rFonts w:ascii="Times New Roman" w:hAnsi="Times New Roman" w:cs="Times New Roman"/>
          <w:sz w:val="22"/>
          <w:szCs w:val="22"/>
        </w:rPr>
        <w:t>ões</w:t>
      </w:r>
      <w:proofErr w:type="spellEnd"/>
      <w:r>
        <w:rPr>
          <w:rFonts w:ascii="Times New Roman" w:hAnsi="Times New Roman" w:cs="Times New Roman"/>
          <w:sz w:val="22"/>
          <w:szCs w:val="22"/>
        </w:rPr>
        <w:t>) válida(s), conforme art. 43, §3º, do Decreto 10.024, de 2019.</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a necessidade de envio de documentos de habilitação complementares, necessários à confirmação daqueles exigidos neste Edital e já apresentados, o licitante será convocado a encaminhá-los, em formato digital, via sistema, no prazo de 48</w:t>
      </w: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(quarenta e oito) horas, sob pena de inabilitação.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Somente haverá a necessidade de comprovação do preenchimento de requisitos mediante apresentação dos documentos originais </w:t>
      </w:r>
      <w:proofErr w:type="gramStart"/>
      <w:r>
        <w:rPr>
          <w:rFonts w:ascii="Times New Roman" w:hAnsi="Times New Roman" w:cs="Times New Roman"/>
          <w:sz w:val="22"/>
          <w:szCs w:val="22"/>
        </w:rPr>
        <w:t>não-digitais</w:t>
      </w:r>
      <w:proofErr w:type="gramEnd"/>
      <w:r>
        <w:rPr>
          <w:rFonts w:ascii="Times New Roman" w:hAnsi="Times New Roman" w:cs="Times New Roman"/>
          <w:sz w:val="22"/>
          <w:szCs w:val="22"/>
        </w:rPr>
        <w:t xml:space="preserve"> quando houver dúvida em relação à integridade do documento digital.</w:t>
      </w:r>
    </w:p>
    <w:p w:rsidR="002C0C87" w:rsidRDefault="006D2EFC">
      <w:pPr>
        <w:numPr>
          <w:ilvl w:val="1"/>
          <w:numId w:val="2"/>
        </w:numPr>
        <w:ind w:left="0" w:firstLine="0"/>
        <w:jc w:val="both"/>
        <w:rPr>
          <w:color w:val="000000"/>
        </w:rPr>
      </w:pPr>
      <w:r>
        <w:rPr>
          <w:rFonts w:ascii="Times New Roman" w:hAnsi="Times New Roman" w:cs="Times New Roman"/>
          <w:sz w:val="22"/>
          <w:szCs w:val="22"/>
        </w:rPr>
        <w:t>Não serão aceitos documentos de habilitação com indicação de CNPJ/CPF diferentes, salvo aqueles legalmente permitidos.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 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rsidR="002C0C87" w:rsidRDefault="006D2EFC">
      <w:pPr>
        <w:numPr>
          <w:ilvl w:val="2"/>
          <w:numId w:val="2"/>
        </w:numPr>
        <w:ind w:left="567" w:firstLine="0"/>
        <w:jc w:val="both"/>
        <w:rPr>
          <w:color w:val="000000"/>
        </w:rPr>
      </w:pPr>
      <w:r>
        <w:rPr>
          <w:rFonts w:ascii="Times New Roman" w:hAnsi="Times New Roman" w:cs="Times New Roman"/>
          <w:sz w:val="22"/>
          <w:szCs w:val="22"/>
        </w:rPr>
        <w:t>Serão aceitos registros de CNPJ de licitante matriz e filial com diferenças de números de documentos pertinentes ao CND e ao CRF/FGTS, quando for comprovada a centralização do recolhimento dessas contribuições.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 Ressalvado o disposto no item 5.3, os licitantes deverão encaminhar, nos termos deste Edital, a documentação relacionada nos itens a seguir, para fins de </w:t>
      </w:r>
      <w:proofErr w:type="gramStart"/>
      <w:r>
        <w:rPr>
          <w:rFonts w:ascii="Times New Roman" w:hAnsi="Times New Roman" w:cs="Times New Roman"/>
          <w:sz w:val="22"/>
          <w:szCs w:val="22"/>
        </w:rPr>
        <w:t>habilitação</w:t>
      </w:r>
      <w:proofErr w:type="gramEnd"/>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b/>
          <w:sz w:val="22"/>
          <w:szCs w:val="22"/>
        </w:rPr>
        <w:t xml:space="preserve">Habilitação jurídica: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no</w:t>
      </w:r>
      <w:proofErr w:type="gramEnd"/>
      <w:r>
        <w:rPr>
          <w:rFonts w:ascii="Times New Roman" w:hAnsi="Times New Roman" w:cs="Times New Roman"/>
          <w:sz w:val="22"/>
          <w:szCs w:val="22"/>
        </w:rPr>
        <w:t xml:space="preserve"> caso de empresário individual, inscrição no Registro Público de Empresas Mercantis, a cargo da Junta Comercial da respectiva sede;</w:t>
      </w:r>
    </w:p>
    <w:p w:rsidR="002C0C87" w:rsidRDefault="006D2EFC">
      <w:pPr>
        <w:numPr>
          <w:ilvl w:val="2"/>
          <w:numId w:val="2"/>
        </w:numPr>
        <w:ind w:left="567" w:firstLine="0"/>
        <w:jc w:val="both"/>
        <w:rPr>
          <w:color w:val="000000"/>
        </w:rPr>
      </w:pPr>
      <w:r>
        <w:rPr>
          <w:rFonts w:ascii="Times New Roman" w:hAnsi="Times New Roman" w:cs="Times New Roman"/>
          <w:sz w:val="22"/>
          <w:szCs w:val="22"/>
        </w:rPr>
        <w:t>Em se tratando de Microempreendedor Individual – MEI: Certificado da Condição de Microempreendedor Individual - CCMEI, cuja aceitação ficará condicionada à verificação da autenticidade no sítio www.portaldoempreendedor.gov.br;</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inscrição</w:t>
      </w:r>
      <w:proofErr w:type="gramEnd"/>
      <w:r>
        <w:rPr>
          <w:rFonts w:ascii="Times New Roman" w:hAnsi="Times New Roman" w:cs="Times New Roman"/>
          <w:sz w:val="22"/>
          <w:szCs w:val="22"/>
        </w:rPr>
        <w:t xml:space="preserve"> no Registro Público de Empresas Mercantis onde opera, com averbação no Registro onde tem sede a matriz, no caso de ser o participante sucursal, filial ou agência;</w:t>
      </w:r>
    </w:p>
    <w:p w:rsidR="002C0C87" w:rsidRDefault="006D2EFC">
      <w:pPr>
        <w:numPr>
          <w:ilvl w:val="2"/>
          <w:numId w:val="2"/>
        </w:numPr>
        <w:ind w:left="567" w:firstLine="0"/>
        <w:jc w:val="both"/>
        <w:rPr>
          <w:color w:val="000000"/>
        </w:rPr>
      </w:pPr>
      <w:r>
        <w:rPr>
          <w:rFonts w:ascii="Times New Roman" w:hAnsi="Times New Roman" w:cs="Times New Roman"/>
          <w:sz w:val="22"/>
          <w:szCs w:val="22"/>
        </w:rPr>
        <w:t>No caso de sociedade simples: inscrição do ato constitutivo no Registro Civil das Pessoas Jurídicas do local de sua sede, acompanhada de prova da indicação dos seus administradores;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decreto</w:t>
      </w:r>
      <w:proofErr w:type="gramEnd"/>
      <w:r>
        <w:rPr>
          <w:rFonts w:ascii="Times New Roman" w:hAnsi="Times New Roman" w:cs="Times New Roman"/>
          <w:sz w:val="22"/>
          <w:szCs w:val="22"/>
        </w:rPr>
        <w:t xml:space="preserve"> de autorização, em se tratando de sociedade empresária estrangeira em funcionamento no País;</w:t>
      </w:r>
    </w:p>
    <w:p w:rsidR="002C0C87" w:rsidRDefault="006D2EFC">
      <w:pPr>
        <w:numPr>
          <w:ilvl w:val="2"/>
          <w:numId w:val="2"/>
        </w:numPr>
        <w:ind w:left="567" w:firstLine="0"/>
        <w:jc w:val="both"/>
        <w:rPr>
          <w:color w:val="000000"/>
        </w:rPr>
      </w:pPr>
      <w:r>
        <w:rPr>
          <w:rFonts w:ascii="Times New Roman" w:hAnsi="Times New Roman" w:cs="Times New Roman"/>
          <w:sz w:val="22"/>
          <w:szCs w:val="22"/>
        </w:rPr>
        <w:t>Os documentos acima deverão estar acompanhados de todas as alterações ou da consolidação respectiva.</w:t>
      </w:r>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b/>
        </w:rPr>
      </w:pPr>
      <w:r>
        <w:rPr>
          <w:rFonts w:ascii="Times New Roman" w:hAnsi="Times New Roman" w:cs="Times New Roman"/>
          <w:b/>
          <w:sz w:val="22"/>
          <w:szCs w:val="22"/>
        </w:rPr>
        <w:t>Regularidade fiscal e trabalhista: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inscrição no Cadastro Nacional de Pessoas Jurídicas ou no Cadastro de Pessoas Físicas, conforme o caso;</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com o Fundo de Garantia do Tempo de Serviço (FGTS);</w:t>
      </w:r>
    </w:p>
    <w:p w:rsidR="002C0C87" w:rsidRDefault="006D2EFC">
      <w:pPr>
        <w:numPr>
          <w:ilvl w:val="3"/>
          <w:numId w:val="2"/>
        </w:numPr>
        <w:ind w:left="1134" w:firstLine="0"/>
        <w:jc w:val="both"/>
        <w:rPr>
          <w:color w:val="000000"/>
        </w:rPr>
      </w:pPr>
      <w:r>
        <w:rPr>
          <w:rFonts w:ascii="Times New Roman" w:hAnsi="Times New Roman" w:cs="Times New Roman"/>
          <w:sz w:val="22"/>
          <w:szCs w:val="22"/>
        </w:rPr>
        <w:lastRenderedPageBreak/>
        <w:t>Microempreendedor Individual, com empregado, apresentar Certidão Negativa do FGTS.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inscrição no cadastro de contribuintes municipal, relativo ao domicílio ou sede do licitante, pertinente ao seu ramo de atividade e compatível com o objeto contratual;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com a Fazenda Municipal do domicílio ou sede do licitante, relativa à atividade em cujo exercício contrata ou concorre;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caso</w:t>
      </w:r>
      <w:proofErr w:type="gramEnd"/>
      <w:r>
        <w:rPr>
          <w:rFonts w:ascii="Times New Roman" w:hAnsi="Times New Roman" w:cs="Times New Roman"/>
          <w:sz w:val="22"/>
          <w:szCs w:val="22"/>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w:t>
      </w:r>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b/>
          <w:sz w:val="22"/>
          <w:szCs w:val="22"/>
        </w:rPr>
        <w:t xml:space="preserve"> Qualificação Técnica:</w:t>
      </w:r>
      <w:r>
        <w:rPr>
          <w:rFonts w:ascii="Times New Roman" w:hAnsi="Times New Roman" w:cs="Times New Roman"/>
          <w:sz w:val="22"/>
          <w:szCs w:val="22"/>
        </w:rPr>
        <w:t xml:space="preserve"> </w:t>
      </w:r>
    </w:p>
    <w:p w:rsidR="00B82691" w:rsidRPr="00B82691" w:rsidRDefault="00B82691">
      <w:pPr>
        <w:numPr>
          <w:ilvl w:val="2"/>
          <w:numId w:val="2"/>
        </w:numPr>
        <w:ind w:left="567" w:firstLine="0"/>
        <w:jc w:val="both"/>
        <w:rPr>
          <w:rFonts w:ascii="Times New Roman" w:hAnsi="Times New Roman" w:cs="Times New Roman"/>
          <w:sz w:val="22"/>
          <w:szCs w:val="22"/>
        </w:rPr>
      </w:pPr>
      <w:r w:rsidRPr="00B82691">
        <w:rPr>
          <w:rFonts w:ascii="Times New Roman" w:hAnsi="Times New Roman" w:cs="Times New Roman"/>
          <w:sz w:val="22"/>
          <w:szCs w:val="22"/>
        </w:rPr>
        <w:t>Os critérios de qualificação técnica a serem atendidos pelo fornecedor serão os estabelecidos pela Portaria do Centro de Vigilância Sanitária nº 05 de 09 de abril de 2013:</w:t>
      </w:r>
    </w:p>
    <w:p w:rsidR="00B82691" w:rsidRPr="00B82691" w:rsidRDefault="00B82691" w:rsidP="00B82691">
      <w:pPr>
        <w:numPr>
          <w:ilvl w:val="3"/>
          <w:numId w:val="2"/>
        </w:numPr>
        <w:jc w:val="both"/>
        <w:rPr>
          <w:rFonts w:ascii="Times New Roman" w:hAnsi="Times New Roman" w:cs="Times New Roman"/>
          <w:sz w:val="22"/>
          <w:szCs w:val="22"/>
        </w:rPr>
      </w:pPr>
      <w:r w:rsidRPr="00B82691">
        <w:rPr>
          <w:rFonts w:ascii="Times New Roman" w:hAnsi="Times New Roman" w:cs="Times New Roman"/>
          <w:sz w:val="22"/>
          <w:szCs w:val="22"/>
        </w:rPr>
        <w:t xml:space="preserve">Comprovação da capacitação técnico-profissional: comprovação da licitante de possuir em seu quadro permanente, na data prevista para entrega da proposta, </w:t>
      </w:r>
      <w:r w:rsidRPr="00B82691">
        <w:rPr>
          <w:rFonts w:ascii="Times New Roman" w:hAnsi="Times New Roman" w:cs="Times New Roman"/>
          <w:b/>
          <w:sz w:val="22"/>
          <w:szCs w:val="22"/>
        </w:rPr>
        <w:t>Responsável Técnico</w:t>
      </w:r>
      <w:r w:rsidRPr="00B82691">
        <w:rPr>
          <w:rFonts w:ascii="Times New Roman" w:hAnsi="Times New Roman" w:cs="Times New Roman"/>
          <w:sz w:val="22"/>
          <w:szCs w:val="22"/>
        </w:rPr>
        <w:t xml:space="preserve"> que se responsabilize pela elaboração, implantação e manutenção de Boas Práticas na unidade </w:t>
      </w:r>
      <w:proofErr w:type="gramStart"/>
      <w:r w:rsidRPr="00B82691">
        <w:rPr>
          <w:rFonts w:ascii="Times New Roman" w:hAnsi="Times New Roman" w:cs="Times New Roman"/>
          <w:sz w:val="22"/>
          <w:szCs w:val="22"/>
        </w:rPr>
        <w:t>alimentar</w:t>
      </w:r>
      <w:proofErr w:type="gramEnd"/>
      <w:r w:rsidRPr="00B82691">
        <w:rPr>
          <w:rFonts w:ascii="Times New Roman" w:hAnsi="Times New Roman" w:cs="Times New Roman"/>
          <w:sz w:val="22"/>
          <w:szCs w:val="22"/>
        </w:rPr>
        <w:t>.</w:t>
      </w:r>
    </w:p>
    <w:p w:rsidR="00B82691" w:rsidRPr="00B82691" w:rsidRDefault="00B82691" w:rsidP="00B82691">
      <w:pPr>
        <w:numPr>
          <w:ilvl w:val="4"/>
          <w:numId w:val="2"/>
        </w:numPr>
        <w:jc w:val="both"/>
        <w:rPr>
          <w:rFonts w:ascii="Times New Roman" w:hAnsi="Times New Roman" w:cs="Times New Roman"/>
          <w:sz w:val="22"/>
          <w:szCs w:val="22"/>
        </w:rPr>
      </w:pPr>
      <w:r w:rsidRPr="00B82691">
        <w:rPr>
          <w:rFonts w:ascii="Times New Roman" w:hAnsi="Times New Roman" w:cs="Times New Roman"/>
          <w:sz w:val="22"/>
          <w:szCs w:val="22"/>
        </w:rPr>
        <w:t xml:space="preserve">A função de Responsável Técnico, profissional ou não, poderá estar a cargo do proprietário do estabelecimento, ou de um funcionário capacitado, que irá trabalhar efetivamente no local e acompanhe integralmente o processo de produção e </w:t>
      </w:r>
      <w:proofErr w:type="gramStart"/>
      <w:r w:rsidRPr="00B82691">
        <w:rPr>
          <w:rFonts w:ascii="Times New Roman" w:hAnsi="Times New Roman" w:cs="Times New Roman"/>
          <w:sz w:val="22"/>
          <w:szCs w:val="22"/>
        </w:rPr>
        <w:t>implemente</w:t>
      </w:r>
      <w:proofErr w:type="gramEnd"/>
      <w:r w:rsidRPr="00B82691">
        <w:rPr>
          <w:rFonts w:ascii="Times New Roman" w:hAnsi="Times New Roman" w:cs="Times New Roman"/>
          <w:sz w:val="22"/>
          <w:szCs w:val="22"/>
        </w:rPr>
        <w:t xml:space="preserve"> os parâmetros e critérios estabelecidos pela ANVISA. Este Responsável Técnico deve ser comprovadamente submetido a </w:t>
      </w:r>
      <w:r w:rsidRPr="00B82691">
        <w:rPr>
          <w:rFonts w:ascii="Times New Roman" w:hAnsi="Times New Roman" w:cs="Times New Roman"/>
          <w:b/>
          <w:sz w:val="22"/>
          <w:szCs w:val="22"/>
        </w:rPr>
        <w:t>curso de capacitação em Boas Práticas</w:t>
      </w:r>
      <w:r w:rsidRPr="00B82691">
        <w:rPr>
          <w:rFonts w:ascii="Times New Roman" w:hAnsi="Times New Roman" w:cs="Times New Roman"/>
          <w:sz w:val="22"/>
          <w:szCs w:val="22"/>
        </w:rPr>
        <w:t xml:space="preserve"> oferecido por instituição de ensino ou qualificação profissional ou pela vigilância sanitária, cujo conteúdo programático mínimo deve abordar os seguintes temas:</w:t>
      </w:r>
    </w:p>
    <w:p w:rsidR="00B82691" w:rsidRPr="00B82691" w:rsidRDefault="00B82691" w:rsidP="00B82691">
      <w:pPr>
        <w:pStyle w:val="PargrafodaLista"/>
        <w:numPr>
          <w:ilvl w:val="0"/>
          <w:numId w:val="6"/>
        </w:numPr>
        <w:jc w:val="both"/>
        <w:rPr>
          <w:rFonts w:ascii="Times New Roman" w:hAnsi="Times New Roman" w:cs="Times New Roman"/>
          <w:sz w:val="22"/>
          <w:szCs w:val="22"/>
        </w:rPr>
      </w:pPr>
      <w:r w:rsidRPr="00B82691">
        <w:rPr>
          <w:rFonts w:ascii="Times New Roman" w:hAnsi="Times New Roman" w:cs="Times New Roman"/>
          <w:sz w:val="22"/>
          <w:szCs w:val="22"/>
        </w:rPr>
        <w:t>Doenças transmitidas por alimentos;</w:t>
      </w:r>
    </w:p>
    <w:p w:rsidR="00B82691" w:rsidRPr="00B82691" w:rsidRDefault="00B82691" w:rsidP="00B82691">
      <w:pPr>
        <w:pStyle w:val="PargrafodaLista"/>
        <w:numPr>
          <w:ilvl w:val="0"/>
          <w:numId w:val="6"/>
        </w:numPr>
        <w:jc w:val="both"/>
        <w:rPr>
          <w:rFonts w:ascii="Times New Roman" w:hAnsi="Times New Roman" w:cs="Times New Roman"/>
          <w:sz w:val="22"/>
          <w:szCs w:val="22"/>
        </w:rPr>
      </w:pPr>
      <w:r w:rsidRPr="00B82691">
        <w:rPr>
          <w:rFonts w:ascii="Times New Roman" w:hAnsi="Times New Roman" w:cs="Times New Roman"/>
          <w:sz w:val="22"/>
          <w:szCs w:val="22"/>
        </w:rPr>
        <w:t>Higiene e saúde dos funcionários;</w:t>
      </w:r>
    </w:p>
    <w:p w:rsidR="00B82691" w:rsidRPr="00B82691" w:rsidRDefault="00B82691" w:rsidP="00B82691">
      <w:pPr>
        <w:pStyle w:val="PargrafodaLista"/>
        <w:numPr>
          <w:ilvl w:val="0"/>
          <w:numId w:val="6"/>
        </w:numPr>
        <w:jc w:val="both"/>
        <w:rPr>
          <w:rFonts w:ascii="Times New Roman" w:hAnsi="Times New Roman" w:cs="Times New Roman"/>
          <w:sz w:val="22"/>
          <w:szCs w:val="22"/>
        </w:rPr>
      </w:pPr>
      <w:r w:rsidRPr="00B82691">
        <w:rPr>
          <w:rFonts w:ascii="Times New Roman" w:hAnsi="Times New Roman" w:cs="Times New Roman"/>
          <w:sz w:val="22"/>
          <w:szCs w:val="22"/>
        </w:rPr>
        <w:t>Qualidade da água e controle integrado de pragas;</w:t>
      </w:r>
    </w:p>
    <w:p w:rsidR="00B82691" w:rsidRPr="00B82691" w:rsidRDefault="00B82691" w:rsidP="00B82691">
      <w:pPr>
        <w:pStyle w:val="PargrafodaLista"/>
        <w:numPr>
          <w:ilvl w:val="0"/>
          <w:numId w:val="6"/>
        </w:numPr>
        <w:jc w:val="both"/>
        <w:rPr>
          <w:rFonts w:ascii="Times New Roman" w:hAnsi="Times New Roman" w:cs="Times New Roman"/>
          <w:sz w:val="22"/>
          <w:szCs w:val="22"/>
        </w:rPr>
      </w:pPr>
      <w:r w:rsidRPr="00B82691">
        <w:rPr>
          <w:rFonts w:ascii="Times New Roman" w:hAnsi="Times New Roman" w:cs="Times New Roman"/>
          <w:sz w:val="22"/>
          <w:szCs w:val="22"/>
        </w:rPr>
        <w:t>Qualidade sanitária na manipulação de alimentos;</w:t>
      </w:r>
    </w:p>
    <w:p w:rsidR="00B82691" w:rsidRPr="00B82691" w:rsidRDefault="00B82691" w:rsidP="00B82691">
      <w:pPr>
        <w:pStyle w:val="PargrafodaLista"/>
        <w:numPr>
          <w:ilvl w:val="0"/>
          <w:numId w:val="6"/>
        </w:numPr>
        <w:jc w:val="both"/>
        <w:rPr>
          <w:rFonts w:ascii="Times New Roman" w:hAnsi="Times New Roman" w:cs="Times New Roman"/>
          <w:sz w:val="22"/>
          <w:szCs w:val="22"/>
        </w:rPr>
      </w:pPr>
      <w:r w:rsidRPr="00B82691">
        <w:rPr>
          <w:rFonts w:ascii="Times New Roman" w:hAnsi="Times New Roman" w:cs="Times New Roman"/>
          <w:sz w:val="22"/>
          <w:szCs w:val="22"/>
        </w:rPr>
        <w:t>Procedimentos operacionais padronizados para higienização das instalações e do ambiente.</w:t>
      </w:r>
    </w:p>
    <w:p w:rsidR="00B82691" w:rsidRPr="00B82691" w:rsidRDefault="00B82691" w:rsidP="00B82691">
      <w:pPr>
        <w:numPr>
          <w:ilvl w:val="4"/>
          <w:numId w:val="2"/>
        </w:numPr>
        <w:jc w:val="both"/>
        <w:rPr>
          <w:rFonts w:ascii="Times New Roman" w:hAnsi="Times New Roman" w:cs="Times New Roman"/>
          <w:sz w:val="22"/>
          <w:szCs w:val="22"/>
        </w:rPr>
      </w:pPr>
      <w:r w:rsidRPr="00B82691">
        <w:rPr>
          <w:rFonts w:ascii="Times New Roman" w:hAnsi="Times New Roman" w:cs="Times New Roman"/>
          <w:sz w:val="22"/>
          <w:szCs w:val="22"/>
        </w:rPr>
        <w:t>Entende-se como pertencente ao quadro permanente da licitante, na data prevista para entrega da proposta, o sócio que comprove seu vínculo por intermédio de contrato/estatuto social; o administrador ou o diretor; o empregado devidamente registrado em Carteira de Trabalho e Previdência Social;</w:t>
      </w:r>
    </w:p>
    <w:p w:rsidR="00B82691" w:rsidRDefault="00B82691" w:rsidP="004270B8">
      <w:pPr>
        <w:numPr>
          <w:ilvl w:val="4"/>
          <w:numId w:val="2"/>
        </w:numPr>
        <w:jc w:val="both"/>
        <w:rPr>
          <w:rFonts w:ascii="Times New Roman" w:hAnsi="Times New Roman" w:cs="Times New Roman"/>
          <w:sz w:val="22"/>
          <w:szCs w:val="22"/>
        </w:rPr>
      </w:pPr>
      <w:r w:rsidRPr="00B82691">
        <w:rPr>
          <w:rFonts w:ascii="Times New Roman" w:hAnsi="Times New Roman" w:cs="Times New Roman"/>
          <w:sz w:val="22"/>
          <w:szCs w:val="22"/>
        </w:rPr>
        <w:t xml:space="preserve">A licitante apresentará a </w:t>
      </w:r>
      <w:r w:rsidRPr="00B82691">
        <w:rPr>
          <w:rFonts w:ascii="Times New Roman" w:hAnsi="Times New Roman" w:cs="Times New Roman"/>
          <w:b/>
          <w:sz w:val="22"/>
          <w:szCs w:val="22"/>
        </w:rPr>
        <w:t>Declaração do Responsável Técnico</w:t>
      </w:r>
      <w:r w:rsidRPr="00B82691">
        <w:rPr>
          <w:rFonts w:ascii="Times New Roman" w:hAnsi="Times New Roman" w:cs="Times New Roman"/>
          <w:sz w:val="22"/>
          <w:szCs w:val="22"/>
        </w:rPr>
        <w:t xml:space="preserve"> conforme modelo do </w:t>
      </w:r>
      <w:r w:rsidRPr="00FA1058">
        <w:rPr>
          <w:rFonts w:ascii="Times New Roman" w:hAnsi="Times New Roman" w:cs="Times New Roman"/>
          <w:b/>
          <w:sz w:val="22"/>
          <w:szCs w:val="22"/>
        </w:rPr>
        <w:t>Anexo V</w:t>
      </w:r>
      <w:r w:rsidR="00FA1058" w:rsidRPr="00FA1058">
        <w:rPr>
          <w:rFonts w:ascii="Times New Roman" w:hAnsi="Times New Roman" w:cs="Times New Roman"/>
          <w:b/>
          <w:sz w:val="22"/>
          <w:szCs w:val="22"/>
        </w:rPr>
        <w:t>I</w:t>
      </w:r>
      <w:r>
        <w:rPr>
          <w:rFonts w:ascii="Times New Roman" w:hAnsi="Times New Roman" w:cs="Times New Roman"/>
          <w:sz w:val="22"/>
          <w:szCs w:val="22"/>
        </w:rPr>
        <w:t xml:space="preserve"> deste edital</w:t>
      </w:r>
      <w:r w:rsidRPr="00B82691">
        <w:rPr>
          <w:rFonts w:ascii="Times New Roman" w:hAnsi="Times New Roman" w:cs="Times New Roman"/>
          <w:sz w:val="22"/>
          <w:szCs w:val="22"/>
        </w:rPr>
        <w:t xml:space="preserve">, </w:t>
      </w:r>
      <w:r>
        <w:rPr>
          <w:rFonts w:ascii="Times New Roman" w:hAnsi="Times New Roman" w:cs="Times New Roman"/>
          <w:sz w:val="22"/>
          <w:szCs w:val="22"/>
        </w:rPr>
        <w:t xml:space="preserve">além dos envio do </w:t>
      </w:r>
      <w:r w:rsidRPr="00B82691">
        <w:rPr>
          <w:rFonts w:ascii="Times New Roman" w:hAnsi="Times New Roman" w:cs="Times New Roman"/>
          <w:b/>
          <w:sz w:val="22"/>
          <w:szCs w:val="22"/>
        </w:rPr>
        <w:t>Certificado de capacitação do Responsável Técnico</w:t>
      </w:r>
      <w:r w:rsidRPr="00B82691">
        <w:rPr>
          <w:rFonts w:ascii="Times New Roman" w:hAnsi="Times New Roman" w:cs="Times New Roman"/>
          <w:sz w:val="22"/>
          <w:szCs w:val="22"/>
        </w:rPr>
        <w:t xml:space="preserve"> e </w:t>
      </w:r>
      <w:r w:rsidRPr="00B82691">
        <w:rPr>
          <w:rFonts w:ascii="Times New Roman" w:hAnsi="Times New Roman" w:cs="Times New Roman"/>
          <w:b/>
          <w:sz w:val="22"/>
          <w:szCs w:val="22"/>
        </w:rPr>
        <w:t>documentos comprobatórios de vínculo</w:t>
      </w:r>
      <w:r w:rsidRPr="00B82691">
        <w:rPr>
          <w:rFonts w:ascii="Times New Roman" w:hAnsi="Times New Roman" w:cs="Times New Roman"/>
          <w:sz w:val="22"/>
          <w:szCs w:val="22"/>
        </w:rPr>
        <w:t xml:space="preserve"> conforme item 9.10.1.1.2.</w:t>
      </w:r>
    </w:p>
    <w:p w:rsidR="004270B8" w:rsidRPr="004270B8" w:rsidRDefault="004270B8" w:rsidP="004270B8">
      <w:pPr>
        <w:numPr>
          <w:ilvl w:val="2"/>
          <w:numId w:val="2"/>
        </w:numPr>
        <w:jc w:val="both"/>
        <w:rPr>
          <w:rStyle w:val="fontstyle01"/>
          <w:rFonts w:ascii="Times New Roman" w:hAnsi="Times New Roman" w:cs="Times New Roman"/>
          <w:b w:val="0"/>
          <w:bCs w:val="0"/>
          <w:color w:val="00000A"/>
          <w:sz w:val="22"/>
          <w:szCs w:val="22"/>
        </w:rPr>
      </w:pPr>
      <w:r w:rsidRPr="004270B8">
        <w:rPr>
          <w:rStyle w:val="fontstyle01"/>
          <w:rFonts w:ascii="Times New Roman" w:hAnsi="Times New Roman" w:cs="Times New Roman"/>
          <w:b w:val="0"/>
          <w:sz w:val="22"/>
          <w:szCs w:val="22"/>
        </w:rPr>
        <w:t xml:space="preserve">As empresas deverão apresentar atestado de </w:t>
      </w:r>
      <w:r w:rsidRPr="004270B8">
        <w:rPr>
          <w:rStyle w:val="fontstyle01"/>
          <w:rFonts w:ascii="Times New Roman" w:hAnsi="Times New Roman" w:cs="Times New Roman"/>
          <w:sz w:val="22"/>
          <w:szCs w:val="22"/>
        </w:rPr>
        <w:t>vistoria ou declaração de ciência do local de execução dos serviços de Cantina</w:t>
      </w:r>
      <w:r w:rsidRPr="004270B8">
        <w:rPr>
          <w:rStyle w:val="fontstyle01"/>
          <w:rFonts w:ascii="Times New Roman" w:hAnsi="Times New Roman" w:cs="Times New Roman"/>
          <w:b w:val="0"/>
          <w:sz w:val="22"/>
          <w:szCs w:val="22"/>
        </w:rPr>
        <w:t xml:space="preserve">, assinado pelo </w:t>
      </w:r>
      <w:r w:rsidRPr="004270B8">
        <w:rPr>
          <w:rStyle w:val="fontstyle01"/>
          <w:rFonts w:ascii="Times New Roman" w:hAnsi="Times New Roman" w:cs="Times New Roman"/>
          <w:b w:val="0"/>
          <w:sz w:val="22"/>
          <w:szCs w:val="22"/>
        </w:rPr>
        <w:lastRenderedPageBreak/>
        <w:t xml:space="preserve">servidor responsável conforme modelo constante no </w:t>
      </w:r>
      <w:r w:rsidRPr="004270B8">
        <w:rPr>
          <w:rStyle w:val="fontstyle01"/>
          <w:rFonts w:ascii="Times New Roman" w:hAnsi="Times New Roman" w:cs="Times New Roman"/>
          <w:sz w:val="22"/>
          <w:szCs w:val="22"/>
        </w:rPr>
        <w:t>ANEXO IV –</w:t>
      </w:r>
      <w:r w:rsidRPr="004270B8">
        <w:rPr>
          <w:rStyle w:val="fontstyle01"/>
          <w:rFonts w:ascii="Times New Roman" w:hAnsi="Times New Roman" w:cs="Times New Roman"/>
          <w:b w:val="0"/>
          <w:sz w:val="22"/>
          <w:szCs w:val="22"/>
        </w:rPr>
        <w:t xml:space="preserve"> </w:t>
      </w:r>
      <w:r w:rsidRPr="004270B8">
        <w:rPr>
          <w:rFonts w:ascii="Times New Roman" w:hAnsi="Times New Roman" w:cs="Times New Roman"/>
          <w:b/>
          <w:sz w:val="22"/>
          <w:szCs w:val="22"/>
        </w:rPr>
        <w:t>Modelo de Declaração de Vistoria</w:t>
      </w:r>
      <w:r w:rsidRPr="004270B8">
        <w:rPr>
          <w:rStyle w:val="fontstyle01"/>
          <w:rFonts w:ascii="Times New Roman" w:hAnsi="Times New Roman" w:cs="Times New Roman"/>
          <w:b w:val="0"/>
          <w:sz w:val="22"/>
          <w:szCs w:val="22"/>
        </w:rPr>
        <w:t>.</w:t>
      </w:r>
    </w:p>
    <w:p w:rsidR="004270B8" w:rsidRPr="004270B8" w:rsidRDefault="004270B8" w:rsidP="004270B8">
      <w:pPr>
        <w:numPr>
          <w:ilvl w:val="2"/>
          <w:numId w:val="2"/>
        </w:numPr>
        <w:jc w:val="both"/>
        <w:rPr>
          <w:rFonts w:ascii="Times New Roman" w:hAnsi="Times New Roman" w:cs="Times New Roman"/>
          <w:sz w:val="22"/>
          <w:szCs w:val="22"/>
        </w:rPr>
      </w:pPr>
      <w:r w:rsidRPr="004270B8">
        <w:rPr>
          <w:rFonts w:ascii="Times New Roman" w:hAnsi="Times New Roman" w:cs="Times New Roman"/>
          <w:color w:val="000000"/>
          <w:sz w:val="22"/>
          <w:szCs w:val="22"/>
        </w:rPr>
        <w:t xml:space="preserve">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 conforme modelo </w:t>
      </w:r>
      <w:r w:rsidRPr="004270B8">
        <w:rPr>
          <w:rStyle w:val="fontstyle01"/>
          <w:rFonts w:ascii="Times New Roman" w:hAnsi="Times New Roman" w:cs="Times New Roman"/>
          <w:b w:val="0"/>
          <w:sz w:val="22"/>
          <w:szCs w:val="22"/>
        </w:rPr>
        <w:t>constante no</w:t>
      </w:r>
      <w:r w:rsidRPr="004270B8">
        <w:rPr>
          <w:rStyle w:val="fontstyle01"/>
          <w:rFonts w:ascii="Times New Roman" w:hAnsi="Times New Roman" w:cs="Times New Roman"/>
          <w:sz w:val="22"/>
          <w:szCs w:val="22"/>
        </w:rPr>
        <w:t xml:space="preserve"> ANEXO IV-A – </w:t>
      </w:r>
      <w:r w:rsidRPr="004270B8">
        <w:rPr>
          <w:rFonts w:ascii="Times New Roman" w:hAnsi="Times New Roman" w:cs="Times New Roman"/>
          <w:b/>
          <w:sz w:val="22"/>
          <w:szCs w:val="22"/>
        </w:rPr>
        <w:t>Modelo de Declaração de</w:t>
      </w:r>
      <w:r>
        <w:rPr>
          <w:rFonts w:ascii="Times New Roman" w:hAnsi="Times New Roman" w:cs="Times New Roman"/>
          <w:b/>
          <w:sz w:val="22"/>
          <w:szCs w:val="22"/>
        </w:rPr>
        <w:t xml:space="preserve"> Não</w:t>
      </w:r>
      <w:r w:rsidRPr="004270B8">
        <w:rPr>
          <w:rFonts w:ascii="Times New Roman" w:hAnsi="Times New Roman" w:cs="Times New Roman"/>
          <w:b/>
          <w:sz w:val="22"/>
          <w:szCs w:val="22"/>
        </w:rPr>
        <w:t xml:space="preserve"> Vistoria</w:t>
      </w:r>
      <w:r w:rsidRPr="004270B8">
        <w:rPr>
          <w:rStyle w:val="fontstyle01"/>
          <w:rFonts w:ascii="Times New Roman" w:hAnsi="Times New Roman" w:cs="Times New Roman"/>
          <w:b w:val="0"/>
          <w:sz w:val="22"/>
          <w:szCs w:val="22"/>
        </w:rPr>
        <w:t>.</w:t>
      </w:r>
    </w:p>
    <w:p w:rsidR="002C0C87" w:rsidRDefault="006D2EFC">
      <w:pPr>
        <w:numPr>
          <w:ilvl w:val="1"/>
          <w:numId w:val="2"/>
        </w:numPr>
        <w:ind w:left="0" w:firstLine="0"/>
        <w:jc w:val="both"/>
        <w:rPr>
          <w:color w:val="000000"/>
        </w:rPr>
      </w:pPr>
      <w:r>
        <w:rPr>
          <w:rFonts w:ascii="Times New Roman" w:hAnsi="Times New Roman" w:cs="Times New Roman"/>
          <w:sz w:val="22"/>
          <w:szCs w:val="22"/>
        </w:rPr>
        <w:t>O licitante enquadrado como microempreendedor individual que pretenda auferir os benefícios do tratamento diferenciado previstos na Lei Complementar n. 123, de 2006, estará dispensado da prova de inscrição nos cadastros de contribuintes estadual e municipal. Nota Explicativa: A apresentação do Certificado de Condição de Microempreendedor Individual – CCMEI supre as exigências de inscrição nos cadastros fiscais, na medida em que essas informações constam no próprio Certificado.</w:t>
      </w:r>
    </w:p>
    <w:p w:rsidR="002C0C87" w:rsidRDefault="006D2EFC">
      <w:pPr>
        <w:numPr>
          <w:ilvl w:val="1"/>
          <w:numId w:val="2"/>
        </w:numPr>
        <w:ind w:left="0" w:firstLine="0"/>
        <w:jc w:val="both"/>
        <w:rPr>
          <w:color w:val="000000"/>
        </w:rPr>
      </w:pPr>
      <w:r>
        <w:rPr>
          <w:rFonts w:ascii="Times New Roman" w:hAnsi="Times New Roman" w:cs="Times New Roman"/>
          <w:sz w:val="22"/>
          <w:szCs w:val="22"/>
        </w:rPr>
        <w:t>A existência de restrição relativamente à regularidade fiscal e trabalhista não impede que a licitante qualificada como microempresa ou empresa de pequeno porte seja declarada vencedora, uma vez que atenda a todas as demais exigências do edital.</w:t>
      </w:r>
    </w:p>
    <w:p w:rsidR="002C0C87" w:rsidRDefault="006D2EFC">
      <w:pPr>
        <w:numPr>
          <w:ilvl w:val="2"/>
          <w:numId w:val="2"/>
        </w:numPr>
        <w:ind w:left="567" w:firstLine="0"/>
        <w:jc w:val="both"/>
      </w:pPr>
      <w:r>
        <w:rPr>
          <w:rFonts w:ascii="Times New Roman" w:hAnsi="Times New Roman" w:cs="Times New Roman"/>
          <w:sz w:val="22"/>
          <w:szCs w:val="22"/>
        </w:rPr>
        <w:t>A declaração do vencedor acontecerá no momento imediatamente posterior à fase de habilitação.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Caso a proposta mais vantajosa seja ofertada por licitante qualificada como microempresa, empresa de pequeno porte ou sociedade cooperativa equiparada, e uma vez constatada a existência de alguma restrição no que tange à regularidade fiscal e trabalhista, a mesma será convocada para, no prazo de </w:t>
      </w:r>
      <w:proofErr w:type="gramStart"/>
      <w:r>
        <w:rPr>
          <w:rFonts w:ascii="Times New Roman" w:hAnsi="Times New Roman" w:cs="Times New Roman"/>
          <w:sz w:val="22"/>
          <w:szCs w:val="22"/>
        </w:rPr>
        <w:t>5</w:t>
      </w:r>
      <w:proofErr w:type="gramEnd"/>
      <w:r>
        <w:rPr>
          <w:rFonts w:ascii="Times New Roman" w:hAnsi="Times New Roman" w:cs="Times New Roman"/>
          <w:sz w:val="22"/>
          <w:szCs w:val="22"/>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A </w:t>
      </w:r>
      <w:proofErr w:type="gramStart"/>
      <w:r>
        <w:rPr>
          <w:rFonts w:ascii="Times New Roman" w:hAnsi="Times New Roman" w:cs="Times New Roman"/>
          <w:sz w:val="22"/>
          <w:szCs w:val="22"/>
        </w:rPr>
        <w:t>não-regularização</w:t>
      </w:r>
      <w:proofErr w:type="gramEnd"/>
      <w:r>
        <w:rPr>
          <w:rFonts w:ascii="Times New Roman" w:hAnsi="Times New Roman" w:cs="Times New Roman"/>
          <w:sz w:val="22"/>
          <w:szCs w:val="22"/>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necessidade de analisar minuciosamente os documentos exigidos, o Pregoeiro suspenderá a sessão, informando no “chat” a nova data e horário para sua continuidade.</w:t>
      </w:r>
    </w:p>
    <w:p w:rsidR="002C0C87" w:rsidRDefault="006D2EFC">
      <w:pPr>
        <w:numPr>
          <w:ilvl w:val="1"/>
          <w:numId w:val="2"/>
        </w:numPr>
        <w:ind w:left="0" w:firstLine="0"/>
        <w:jc w:val="both"/>
        <w:rPr>
          <w:color w:val="000000"/>
        </w:rPr>
      </w:pPr>
      <w:r>
        <w:rPr>
          <w:rFonts w:ascii="Times New Roman" w:hAnsi="Times New Roman" w:cs="Times New Roman"/>
          <w:sz w:val="22"/>
          <w:szCs w:val="22"/>
        </w:rPr>
        <w:t>Será inabilitado o licitante que não comprovar sua habilitação, seja por não apresentar quaisquer dos documentos exigidos para tanto, ou apresentá-los em desacordo com o estabelecido neste Edital.</w:t>
      </w:r>
    </w:p>
    <w:p w:rsidR="002C0C87" w:rsidRDefault="006D2EFC">
      <w:pPr>
        <w:numPr>
          <w:ilvl w:val="1"/>
          <w:numId w:val="2"/>
        </w:numPr>
        <w:ind w:left="0" w:firstLine="0"/>
        <w:jc w:val="both"/>
      </w:pPr>
      <w:r>
        <w:rPr>
          <w:rFonts w:ascii="Times New Roman" w:hAnsi="Times New Roman" w:cs="Times New Roman"/>
          <w:sz w:val="22"/>
          <w:szCs w:val="22"/>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inabilitação, além da aplicação das sanções cabíveis.</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Não havendo a comprovação cumulativa dos requisitos de habilitação, a inabilitação recairá sobre o(s) </w:t>
      </w:r>
      <w:proofErr w:type="gramStart"/>
      <w:r>
        <w:rPr>
          <w:rFonts w:ascii="Times New Roman" w:hAnsi="Times New Roman" w:cs="Times New Roman"/>
          <w:sz w:val="22"/>
          <w:szCs w:val="22"/>
        </w:rPr>
        <w:t>item(</w:t>
      </w:r>
      <w:proofErr w:type="spellStart"/>
      <w:proofErr w:type="gramEnd"/>
      <w:r>
        <w:rPr>
          <w:rFonts w:ascii="Times New Roman" w:hAnsi="Times New Roman" w:cs="Times New Roman"/>
          <w:sz w:val="22"/>
          <w:szCs w:val="22"/>
        </w:rPr>
        <w:t>ns</w:t>
      </w:r>
      <w:proofErr w:type="spellEnd"/>
      <w:r>
        <w:rPr>
          <w:rFonts w:ascii="Times New Roman" w:hAnsi="Times New Roman" w:cs="Times New Roman"/>
          <w:sz w:val="22"/>
          <w:szCs w:val="22"/>
        </w:rPr>
        <w:t>) de menor(es) valor(es), cuja retirada(s) seja(m) suficiente(s) para a habilitação do licitante nos remanescentes.</w:t>
      </w:r>
    </w:p>
    <w:p w:rsidR="002C0C87" w:rsidRDefault="006D2EFC">
      <w:pPr>
        <w:numPr>
          <w:ilvl w:val="1"/>
          <w:numId w:val="2"/>
        </w:numPr>
        <w:ind w:left="0" w:firstLine="0"/>
        <w:jc w:val="both"/>
      </w:pPr>
      <w:r>
        <w:rPr>
          <w:rFonts w:ascii="Times New Roman" w:hAnsi="Times New Roman" w:cs="Times New Roman"/>
          <w:sz w:val="22"/>
          <w:szCs w:val="22"/>
        </w:rPr>
        <w:t>Constatado o atendimento às exigências de habilitação fixadas no Edital, o licitante será declarado vencedor.</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ENCAMINHAMENTO DA PROPOSTA VENCEDORA</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 proposta final do licitante declarado vencedor deverá ser encaminhada no prazo de</w:t>
      </w:r>
      <w:proofErr w:type="gramStart"/>
      <w:r>
        <w:rPr>
          <w:rFonts w:ascii="Times New Roman" w:hAnsi="Times New Roman" w:cs="Times New Roman"/>
          <w:sz w:val="22"/>
          <w:szCs w:val="22"/>
        </w:rPr>
        <w:t xml:space="preserve">  </w:t>
      </w:r>
      <w:proofErr w:type="gramEnd"/>
      <w:r>
        <w:rPr>
          <w:rFonts w:ascii="Times New Roman" w:hAnsi="Times New Roman" w:cs="Times New Roman"/>
          <w:b/>
          <w:sz w:val="22"/>
          <w:szCs w:val="22"/>
        </w:rPr>
        <w:t>04 (quatro) horas</w:t>
      </w:r>
      <w:r>
        <w:rPr>
          <w:rFonts w:ascii="Times New Roman" w:hAnsi="Times New Roman" w:cs="Times New Roman"/>
          <w:sz w:val="22"/>
          <w:szCs w:val="22"/>
        </w:rPr>
        <w:t>, a contar da solicitação do Pregoeiro no sistema eletrônico e deverá:</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ser</w:t>
      </w:r>
      <w:proofErr w:type="gramEnd"/>
      <w:r>
        <w:rPr>
          <w:rFonts w:ascii="Times New Roman" w:hAnsi="Times New Roman" w:cs="Times New Roman"/>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a proposta da cesta de produtos, devidamente ajustada ao lance vencedor, em conformidade com o modelo anexo a este Edital: II - Modelo de Proposta de Preços.</w:t>
      </w:r>
    </w:p>
    <w:p w:rsidR="002C0C87" w:rsidRDefault="006D2EFC">
      <w:pPr>
        <w:numPr>
          <w:ilvl w:val="2"/>
          <w:numId w:val="2"/>
        </w:numPr>
        <w:ind w:left="567" w:firstLine="0"/>
        <w:jc w:val="both"/>
        <w:rPr>
          <w:b/>
          <w:color w:val="000000"/>
        </w:rPr>
      </w:pPr>
      <w:r>
        <w:rPr>
          <w:rFonts w:ascii="Times New Roman" w:hAnsi="Times New Roman" w:cs="Times New Roman"/>
          <w:sz w:val="22"/>
          <w:szCs w:val="22"/>
          <w:u w:val="single"/>
        </w:rPr>
        <w:t xml:space="preserve">Na proposta final, os preços dos itens da cesta deverão ser ajustados com valores unitários encerrados em valores divisíveis por R$ 0,05 (cinco centavos). Ex. Café: R$ 0,95; R$ 1,00; R$ 1,05 ou R$ 1,10. </w:t>
      </w:r>
      <w:proofErr w:type="gramStart"/>
      <w:r>
        <w:rPr>
          <w:rFonts w:ascii="Times New Roman" w:hAnsi="Times New Roman" w:cs="Times New Roman"/>
          <w:sz w:val="22"/>
          <w:szCs w:val="22"/>
          <w:u w:val="single"/>
        </w:rPr>
        <w:t>Salgado frito</w:t>
      </w:r>
      <w:proofErr w:type="gramEnd"/>
      <w:r>
        <w:rPr>
          <w:rFonts w:ascii="Times New Roman" w:hAnsi="Times New Roman" w:cs="Times New Roman"/>
          <w:sz w:val="22"/>
          <w:szCs w:val="22"/>
          <w:u w:val="single"/>
        </w:rPr>
        <w:t xml:space="preserve"> R$ 3,75 ou R$ 3,70. Para tanto, </w:t>
      </w:r>
      <w:proofErr w:type="gramStart"/>
      <w:r>
        <w:rPr>
          <w:rFonts w:ascii="Times New Roman" w:hAnsi="Times New Roman" w:cs="Times New Roman"/>
          <w:sz w:val="22"/>
          <w:szCs w:val="22"/>
          <w:u w:val="single"/>
        </w:rPr>
        <w:t>após</w:t>
      </w:r>
      <w:proofErr w:type="gramEnd"/>
      <w:r>
        <w:rPr>
          <w:rFonts w:ascii="Times New Roman" w:hAnsi="Times New Roman" w:cs="Times New Roman"/>
          <w:sz w:val="22"/>
          <w:szCs w:val="22"/>
          <w:u w:val="single"/>
        </w:rPr>
        <w:t xml:space="preserve"> aplicado o percentual de desconto ofertado no lance vencedor, deverá arredondar o valor pelo critério:</w:t>
      </w:r>
    </w:p>
    <w:p w:rsidR="002C0C87" w:rsidRDefault="001D180A">
      <w:pPr>
        <w:numPr>
          <w:ilvl w:val="3"/>
          <w:numId w:val="2"/>
        </w:numPr>
        <w:ind w:left="1134" w:firstLine="0"/>
        <w:jc w:val="both"/>
        <w:rPr>
          <w:b/>
          <w:color w:val="000000"/>
        </w:rPr>
      </w:pPr>
      <w:sdt>
        <w:sdtPr>
          <w:tag w:val="goog_rdk_0"/>
          <w:id w:val="-1410987392"/>
        </w:sdtPr>
        <w:sdtEndPr/>
        <w:sdtContent>
          <w:r w:rsidR="006D2EFC">
            <w:rPr>
              <w:rFonts w:ascii="Cardo" w:eastAsia="Cardo" w:hAnsi="Cardo" w:cs="Cardo"/>
              <w:sz w:val="22"/>
              <w:szCs w:val="22"/>
              <w:u w:val="single"/>
            </w:rPr>
            <w:t xml:space="preserve"> </w:t>
          </w:r>
          <w:proofErr w:type="gramStart"/>
          <w:r w:rsidR="006D2EFC">
            <w:rPr>
              <w:rFonts w:ascii="Cardo" w:eastAsia="Cardo" w:hAnsi="Cardo" w:cs="Cardo"/>
              <w:sz w:val="22"/>
              <w:szCs w:val="22"/>
              <w:u w:val="single"/>
            </w:rPr>
            <w:t>se</w:t>
          </w:r>
          <w:proofErr w:type="gramEnd"/>
          <w:r w:rsidR="006D2EFC">
            <w:rPr>
              <w:rFonts w:ascii="Cardo" w:eastAsia="Cardo" w:hAnsi="Cardo" w:cs="Cardo"/>
              <w:sz w:val="22"/>
              <w:szCs w:val="22"/>
              <w:u w:val="single"/>
            </w:rPr>
            <w:t xml:space="preserve"> o último algarismo for igual ou menor a 03, arredondar para baixo ao zero. Ex. R$ 1,93 → R$ </w:t>
          </w:r>
          <w:proofErr w:type="gramStart"/>
          <w:r w:rsidR="006D2EFC">
            <w:rPr>
              <w:rFonts w:ascii="Cardo" w:eastAsia="Cardo" w:hAnsi="Cardo" w:cs="Cardo"/>
              <w:sz w:val="22"/>
              <w:szCs w:val="22"/>
              <w:u w:val="single"/>
            </w:rPr>
            <w:t>1,90;</w:t>
          </w:r>
          <w:proofErr w:type="gramEnd"/>
        </w:sdtContent>
      </w:sdt>
    </w:p>
    <w:p w:rsidR="002C0C87" w:rsidRDefault="001D180A">
      <w:pPr>
        <w:numPr>
          <w:ilvl w:val="3"/>
          <w:numId w:val="2"/>
        </w:numPr>
        <w:ind w:left="1134" w:firstLine="0"/>
        <w:jc w:val="both"/>
        <w:rPr>
          <w:b/>
          <w:color w:val="000000"/>
        </w:rPr>
      </w:pPr>
      <w:sdt>
        <w:sdtPr>
          <w:tag w:val="goog_rdk_1"/>
          <w:id w:val="487989747"/>
        </w:sdtPr>
        <w:sdtEndPr/>
        <w:sdtContent>
          <w:r w:rsidR="006D2EFC">
            <w:rPr>
              <w:rFonts w:ascii="Cardo" w:eastAsia="Cardo" w:hAnsi="Cardo" w:cs="Cardo"/>
              <w:sz w:val="22"/>
              <w:szCs w:val="22"/>
              <w:u w:val="single"/>
            </w:rPr>
            <w:t xml:space="preserve"> </w:t>
          </w:r>
          <w:proofErr w:type="gramStart"/>
          <w:r w:rsidR="006D2EFC">
            <w:rPr>
              <w:rFonts w:ascii="Cardo" w:eastAsia="Cardo" w:hAnsi="Cardo" w:cs="Cardo"/>
              <w:sz w:val="22"/>
              <w:szCs w:val="22"/>
              <w:u w:val="single"/>
            </w:rPr>
            <w:t>se</w:t>
          </w:r>
          <w:proofErr w:type="gramEnd"/>
          <w:r w:rsidR="006D2EFC">
            <w:rPr>
              <w:rFonts w:ascii="Cardo" w:eastAsia="Cardo" w:hAnsi="Cardo" w:cs="Cardo"/>
              <w:sz w:val="22"/>
              <w:szCs w:val="22"/>
              <w:u w:val="single"/>
            </w:rPr>
            <w:t xml:space="preserve"> o último algarismo for maior ou igual a 04 e menor ou igual a 07, arredondar para 05. Ex. R$ 1,96 → R$ </w:t>
          </w:r>
          <w:proofErr w:type="gramStart"/>
          <w:r w:rsidR="006D2EFC">
            <w:rPr>
              <w:rFonts w:ascii="Cardo" w:eastAsia="Cardo" w:hAnsi="Cardo" w:cs="Cardo"/>
              <w:sz w:val="22"/>
              <w:szCs w:val="22"/>
              <w:u w:val="single"/>
            </w:rPr>
            <w:t>1,95;</w:t>
          </w:r>
          <w:proofErr w:type="gramEnd"/>
        </w:sdtContent>
      </w:sdt>
    </w:p>
    <w:p w:rsidR="002C0C87" w:rsidRDefault="001D180A">
      <w:pPr>
        <w:numPr>
          <w:ilvl w:val="3"/>
          <w:numId w:val="2"/>
        </w:numPr>
        <w:ind w:left="1134" w:firstLine="0"/>
        <w:jc w:val="both"/>
        <w:rPr>
          <w:b/>
          <w:color w:val="000000"/>
        </w:rPr>
      </w:pPr>
      <w:sdt>
        <w:sdtPr>
          <w:tag w:val="goog_rdk_2"/>
          <w:id w:val="-1256597717"/>
        </w:sdtPr>
        <w:sdtEndPr/>
        <w:sdtContent>
          <w:r w:rsidR="006D2EFC">
            <w:rPr>
              <w:rFonts w:ascii="Cardo" w:eastAsia="Cardo" w:hAnsi="Cardo" w:cs="Cardo"/>
              <w:sz w:val="22"/>
              <w:szCs w:val="22"/>
              <w:u w:val="single"/>
            </w:rPr>
            <w:t xml:space="preserve"> </w:t>
          </w:r>
          <w:proofErr w:type="gramStart"/>
          <w:r w:rsidR="006D2EFC">
            <w:rPr>
              <w:rFonts w:ascii="Cardo" w:eastAsia="Cardo" w:hAnsi="Cardo" w:cs="Cardo"/>
              <w:sz w:val="22"/>
              <w:szCs w:val="22"/>
              <w:u w:val="single"/>
            </w:rPr>
            <w:t>se</w:t>
          </w:r>
          <w:proofErr w:type="gramEnd"/>
          <w:r w:rsidR="006D2EFC">
            <w:rPr>
              <w:rFonts w:ascii="Cardo" w:eastAsia="Cardo" w:hAnsi="Cardo" w:cs="Cardo"/>
              <w:sz w:val="22"/>
              <w:szCs w:val="22"/>
              <w:u w:val="single"/>
            </w:rPr>
            <w:t xml:space="preserve"> último algarismo for igual ou maior a 08 menor a 03, arredondar para cima ao zero. Ex. R$ 1,98 → R$ </w:t>
          </w:r>
          <w:proofErr w:type="gramStart"/>
          <w:r w:rsidR="006D2EFC">
            <w:rPr>
              <w:rFonts w:ascii="Cardo" w:eastAsia="Cardo" w:hAnsi="Cardo" w:cs="Cardo"/>
              <w:sz w:val="22"/>
              <w:szCs w:val="22"/>
              <w:u w:val="single"/>
            </w:rPr>
            <w:t>2,00.</w:t>
          </w:r>
          <w:proofErr w:type="gramEnd"/>
        </w:sdtContent>
      </w:sdt>
    </w:p>
    <w:p w:rsidR="002C0C87" w:rsidRDefault="006D2EFC">
      <w:pPr>
        <w:numPr>
          <w:ilvl w:val="1"/>
          <w:numId w:val="2"/>
        </w:numPr>
        <w:ind w:left="0" w:firstLine="0"/>
        <w:jc w:val="both"/>
      </w:pPr>
      <w:r>
        <w:rPr>
          <w:rFonts w:ascii="Times New Roman" w:hAnsi="Times New Roman" w:cs="Times New Roman"/>
          <w:sz w:val="22"/>
          <w:szCs w:val="22"/>
        </w:rPr>
        <w:t xml:space="preserve"> A proposta final deverá ser documentada nos autos e será levada em consideração no decorrer da execução do contrato e aplicação de eventual sanção à Contratada, se for o caso.</w:t>
      </w:r>
    </w:p>
    <w:p w:rsidR="002C0C87" w:rsidRDefault="006D2EFC">
      <w:pPr>
        <w:numPr>
          <w:ilvl w:val="1"/>
          <w:numId w:val="2"/>
        </w:numPr>
        <w:ind w:left="0" w:firstLine="0"/>
        <w:jc w:val="both"/>
        <w:rPr>
          <w:color w:val="000000"/>
        </w:rPr>
      </w:pPr>
      <w:r>
        <w:rPr>
          <w:rFonts w:ascii="Times New Roman" w:hAnsi="Times New Roman" w:cs="Times New Roman"/>
          <w:sz w:val="22"/>
          <w:szCs w:val="22"/>
        </w:rPr>
        <w:t>Todas as especificações do objeto contidas na proposta vinculam a Contratada.</w:t>
      </w:r>
    </w:p>
    <w:p w:rsidR="002C0C87" w:rsidRDefault="006D2EFC">
      <w:pPr>
        <w:numPr>
          <w:ilvl w:val="1"/>
          <w:numId w:val="2"/>
        </w:numPr>
        <w:ind w:left="0" w:firstLine="0"/>
        <w:jc w:val="both"/>
        <w:rPr>
          <w:color w:val="000000"/>
        </w:rPr>
      </w:pPr>
      <w:r>
        <w:rPr>
          <w:rFonts w:ascii="Times New Roman" w:hAnsi="Times New Roman" w:cs="Times New Roman"/>
          <w:sz w:val="22"/>
          <w:szCs w:val="22"/>
        </w:rPr>
        <w:t>Os preços deverão ser expressos em moeda corrente nacional, o valor unitário em algarismos e o valor global em algarismos e por extenso (art. 5º da Lei nº 8.666/93).</w:t>
      </w:r>
    </w:p>
    <w:p w:rsidR="002C0C87" w:rsidRDefault="006D2EFC">
      <w:pPr>
        <w:numPr>
          <w:ilvl w:val="2"/>
          <w:numId w:val="2"/>
        </w:numPr>
        <w:ind w:left="567" w:firstLine="0"/>
        <w:jc w:val="both"/>
        <w:rPr>
          <w:color w:val="000000"/>
        </w:rPr>
      </w:pPr>
      <w:r>
        <w:rPr>
          <w:rFonts w:ascii="Times New Roman" w:hAnsi="Times New Roman" w:cs="Times New Roman"/>
          <w:sz w:val="22"/>
          <w:szCs w:val="22"/>
        </w:rPr>
        <w:t>Ocorrendo divergência entre os preços unitários e o preço global, prevalecerão os primeiros; no caso de divergência entre os valores numéricos e os valores expressos por extenso, prevalecerão estes últimos.</w:t>
      </w:r>
    </w:p>
    <w:p w:rsidR="002C0C87" w:rsidRDefault="006D2EFC">
      <w:pPr>
        <w:numPr>
          <w:ilvl w:val="1"/>
          <w:numId w:val="2"/>
        </w:numPr>
        <w:ind w:left="0" w:firstLine="0"/>
        <w:jc w:val="both"/>
      </w:pPr>
      <w:r>
        <w:rPr>
          <w:rFonts w:ascii="Times New Roman" w:hAnsi="Times New Roman" w:cs="Times New Roman"/>
          <w:sz w:val="22"/>
          <w:szCs w:val="22"/>
        </w:rPr>
        <w:t xml:space="preserve">A oferta deverá ser firme e precisa, limitada, rigorosamente, ao objeto deste Edital, sem conter alternativas de preço ou de qualquer outra condição que induza o julgamento a mais de um resultado,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desclassificação.</w:t>
      </w:r>
    </w:p>
    <w:p w:rsidR="002C0C87" w:rsidRDefault="006D2EFC">
      <w:pPr>
        <w:numPr>
          <w:ilvl w:val="1"/>
          <w:numId w:val="2"/>
        </w:numPr>
        <w:ind w:left="0" w:firstLine="0"/>
        <w:jc w:val="both"/>
      </w:pPr>
      <w:r>
        <w:rPr>
          <w:rFonts w:ascii="Times New Roman" w:hAnsi="Times New Roman" w:cs="Times New Roman"/>
          <w:sz w:val="22"/>
          <w:szCs w:val="22"/>
        </w:rPr>
        <w:t xml:space="preserve"> A proposta deverá obedecer aos termos deste Edital e seus Anexos, não sendo considerada aquela que não corresponda às especificações ali contidas ou que estabeleça vínculo à proposta de outro licitante.</w:t>
      </w:r>
    </w:p>
    <w:p w:rsidR="002C0C87" w:rsidRDefault="006D2EFC">
      <w:pPr>
        <w:numPr>
          <w:ilvl w:val="1"/>
          <w:numId w:val="2"/>
        </w:numPr>
        <w:ind w:left="0" w:firstLine="0"/>
        <w:jc w:val="both"/>
      </w:pPr>
      <w:r>
        <w:rPr>
          <w:rFonts w:ascii="Times New Roman" w:hAnsi="Times New Roman" w:cs="Times New Roman"/>
          <w:sz w:val="22"/>
          <w:szCs w:val="22"/>
        </w:rPr>
        <w:t>As propostas que contenham a descrição do objeto, o valor e os documentos complementares estarão disponíveis na internet, após a homologação.</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DOS RECURSOS</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Pr>
          <w:rFonts w:ascii="Times New Roman" w:hAnsi="Times New Roman" w:cs="Times New Roman"/>
          <w:sz w:val="22"/>
          <w:szCs w:val="22"/>
        </w:rPr>
        <w:t>qual(</w:t>
      </w:r>
      <w:proofErr w:type="spellStart"/>
      <w:proofErr w:type="gramEnd"/>
      <w:r>
        <w:rPr>
          <w:rFonts w:ascii="Times New Roman" w:hAnsi="Times New Roman" w:cs="Times New Roman"/>
          <w:sz w:val="22"/>
          <w:szCs w:val="22"/>
        </w:rPr>
        <w:t>is</w:t>
      </w:r>
      <w:proofErr w:type="spellEnd"/>
      <w:r>
        <w:rPr>
          <w:rFonts w:ascii="Times New Roman" w:hAnsi="Times New Roman" w:cs="Times New Roman"/>
          <w:sz w:val="22"/>
          <w:szCs w:val="22"/>
        </w:rPr>
        <w:t>) decisão(</w:t>
      </w:r>
      <w:proofErr w:type="spellStart"/>
      <w:r>
        <w:rPr>
          <w:rFonts w:ascii="Times New Roman" w:hAnsi="Times New Roman" w:cs="Times New Roman"/>
          <w:sz w:val="22"/>
          <w:szCs w:val="22"/>
        </w:rPr>
        <w:t>ões</w:t>
      </w:r>
      <w:proofErr w:type="spellEnd"/>
      <w:r>
        <w:rPr>
          <w:rFonts w:ascii="Times New Roman" w:hAnsi="Times New Roman" w:cs="Times New Roman"/>
          <w:sz w:val="22"/>
          <w:szCs w:val="22"/>
        </w:rPr>
        <w:t>) pretende recorrer e por quais motivos, em campo próprio do sistema.</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quem se manifeste, caberá ao Pregoeiro verificar a tempestividade e a existência de motivação da intenção de recorrer, para decidir se admite ou não o recurso, fundamentadamente.</w:t>
      </w:r>
    </w:p>
    <w:p w:rsidR="002C0C87" w:rsidRDefault="006D2EFC">
      <w:pPr>
        <w:numPr>
          <w:ilvl w:val="2"/>
          <w:numId w:val="2"/>
        </w:numPr>
        <w:ind w:left="567" w:firstLine="0"/>
        <w:jc w:val="both"/>
        <w:rPr>
          <w:color w:val="000000"/>
        </w:rPr>
      </w:pPr>
      <w:r>
        <w:rPr>
          <w:rFonts w:ascii="Times New Roman" w:hAnsi="Times New Roman" w:cs="Times New Roman"/>
          <w:sz w:val="22"/>
          <w:szCs w:val="22"/>
        </w:rPr>
        <w:t>Nesse momento o Pregoeiro não adentrará no mérito recursal, mas apenas verificará as condições de admissibilidade do recurso.</w:t>
      </w:r>
    </w:p>
    <w:p w:rsidR="002C0C87" w:rsidRDefault="006D2EFC">
      <w:pPr>
        <w:numPr>
          <w:ilvl w:val="2"/>
          <w:numId w:val="2"/>
        </w:numPr>
        <w:ind w:left="567" w:firstLine="0"/>
        <w:jc w:val="both"/>
        <w:rPr>
          <w:color w:val="000000"/>
        </w:rPr>
      </w:pPr>
      <w:r>
        <w:rPr>
          <w:rFonts w:ascii="Times New Roman" w:hAnsi="Times New Roman" w:cs="Times New Roman"/>
          <w:sz w:val="22"/>
          <w:szCs w:val="22"/>
        </w:rPr>
        <w:t>A falta de manifestação motivada do licitante quanto à intenção de recorrer importará a decadência desse direito.</w:t>
      </w:r>
    </w:p>
    <w:p w:rsidR="002C0C87" w:rsidRDefault="006D2EFC">
      <w:pPr>
        <w:numPr>
          <w:ilvl w:val="2"/>
          <w:numId w:val="2"/>
        </w:numPr>
        <w:ind w:left="567" w:firstLine="0"/>
        <w:jc w:val="both"/>
        <w:rPr>
          <w:color w:val="000000"/>
        </w:rPr>
      </w:pPr>
      <w:r>
        <w:rPr>
          <w:rFonts w:ascii="Times New Roman" w:hAnsi="Times New Roman" w:cs="Times New Roman"/>
          <w:sz w:val="22"/>
          <w:szCs w:val="22"/>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acolhimento do recurso invalida tão somente os atos insuscetíveis de aproveitamento. </w:t>
      </w:r>
    </w:p>
    <w:p w:rsidR="002C0C87" w:rsidRDefault="006D2EFC">
      <w:pPr>
        <w:numPr>
          <w:ilvl w:val="1"/>
          <w:numId w:val="2"/>
        </w:numPr>
        <w:ind w:left="0" w:firstLine="0"/>
        <w:jc w:val="both"/>
      </w:pPr>
      <w:r>
        <w:rPr>
          <w:rFonts w:ascii="Times New Roman" w:hAnsi="Times New Roman" w:cs="Times New Roman"/>
          <w:sz w:val="22"/>
          <w:szCs w:val="22"/>
        </w:rPr>
        <w:t>Os autos do processo permanecerão com vista franqueada aos interessados, no endereço constante neste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REABERTURA DA SESSÃO PÚBLICA</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 sessão pública poderá ser reaberta:</w:t>
      </w:r>
    </w:p>
    <w:p w:rsidR="002C0C87" w:rsidRDefault="006D2EFC">
      <w:pPr>
        <w:numPr>
          <w:ilvl w:val="2"/>
          <w:numId w:val="2"/>
        </w:numPr>
        <w:ind w:left="567" w:firstLine="0"/>
        <w:jc w:val="both"/>
        <w:rPr>
          <w:color w:val="000000"/>
        </w:rPr>
      </w:pPr>
      <w:r>
        <w:rPr>
          <w:rFonts w:ascii="Times New Roman" w:hAnsi="Times New Roman" w:cs="Times New Roman"/>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rsidR="002C0C87" w:rsidRDefault="006D2EFC">
      <w:pPr>
        <w:numPr>
          <w:ilvl w:val="1"/>
          <w:numId w:val="2"/>
        </w:numPr>
        <w:ind w:left="0" w:firstLine="0"/>
        <w:jc w:val="both"/>
        <w:rPr>
          <w:color w:val="000000"/>
        </w:rPr>
      </w:pPr>
      <w:r>
        <w:rPr>
          <w:rFonts w:ascii="Times New Roman" w:hAnsi="Times New Roman" w:cs="Times New Roman"/>
          <w:sz w:val="22"/>
          <w:szCs w:val="22"/>
        </w:rPr>
        <w:t>Todos os licitantes remanescentes deverão ser convocados para acompanhar a sessão reaberta.</w:t>
      </w:r>
    </w:p>
    <w:p w:rsidR="002C0C87" w:rsidRDefault="006D2EFC">
      <w:pPr>
        <w:numPr>
          <w:ilvl w:val="2"/>
          <w:numId w:val="2"/>
        </w:numPr>
        <w:ind w:left="567" w:firstLine="0"/>
        <w:jc w:val="both"/>
        <w:rPr>
          <w:color w:val="000000"/>
        </w:rPr>
      </w:pPr>
      <w:r>
        <w:rPr>
          <w:rFonts w:ascii="Times New Roman" w:hAnsi="Times New Roman" w:cs="Times New Roman"/>
          <w:sz w:val="22"/>
          <w:szCs w:val="22"/>
        </w:rPr>
        <w:t>A convocação se dará por meio do sistema eletrônico (“chat”) ou e-mail de acordo com a fase do procedimento licitatório.</w:t>
      </w:r>
    </w:p>
    <w:p w:rsidR="002C0C87" w:rsidRDefault="006D2EFC">
      <w:pPr>
        <w:numPr>
          <w:ilvl w:val="2"/>
          <w:numId w:val="2"/>
        </w:numPr>
        <w:ind w:left="567" w:firstLine="0"/>
        <w:jc w:val="both"/>
      </w:pPr>
      <w:r>
        <w:rPr>
          <w:rFonts w:ascii="Times New Roman" w:hAnsi="Times New Roman" w:cs="Times New Roman"/>
          <w:sz w:val="22"/>
          <w:szCs w:val="22"/>
        </w:rPr>
        <w:t>A convocação feita por e-mail dar-se-á de acordo com os dados contidos no SICAF, sendo responsabilidade do licitante manter seus dados cadastrais atualizados.</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ADJUDICAÇÃO E HOMOLOGAÇÃO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O objeto da licitação será adjudicado ao licitante declarado vencedor, por ato do Pregoeiro, caso não haja interposição de recurso, ou pela autoridade competente, após a regular decisão dos recursos apresentados.</w:t>
      </w:r>
    </w:p>
    <w:p w:rsidR="002C0C87" w:rsidRDefault="006D2EFC">
      <w:pPr>
        <w:numPr>
          <w:ilvl w:val="1"/>
          <w:numId w:val="2"/>
        </w:numPr>
        <w:ind w:left="0" w:firstLine="0"/>
        <w:jc w:val="both"/>
      </w:pPr>
      <w:r>
        <w:rPr>
          <w:rFonts w:ascii="Times New Roman" w:hAnsi="Times New Roman" w:cs="Times New Roman"/>
          <w:sz w:val="22"/>
          <w:szCs w:val="22"/>
        </w:rPr>
        <w:t xml:space="preserve">Após a fase recursal, constatada a regularidade dos atos praticados, a autoridade competente homologará o procedimento licitatório. </w:t>
      </w:r>
    </w:p>
    <w:p w:rsidR="002C0C87" w:rsidRDefault="002C0C87">
      <w:pPr>
        <w:ind w:left="567"/>
        <w:jc w:val="both"/>
        <w:rPr>
          <w:rFonts w:ascii="Times New Roman" w:hAnsi="Times New Roman" w:cs="Times New Roman"/>
          <w:color w:val="000000"/>
          <w:sz w:val="22"/>
          <w:szCs w:val="22"/>
        </w:rPr>
      </w:pPr>
    </w:p>
    <w:p w:rsidR="002C0C87" w:rsidRDefault="002C0C87">
      <w:pPr>
        <w:ind w:left="567"/>
        <w:jc w:val="both"/>
        <w:rPr>
          <w:rFonts w:ascii="Times New Roman" w:hAnsi="Times New Roman" w:cs="Times New Roman"/>
          <w:color w:val="000000"/>
          <w:sz w:val="22"/>
          <w:szCs w:val="22"/>
        </w:rPr>
      </w:pPr>
    </w:p>
    <w:p w:rsidR="002C0C87" w:rsidRDefault="002C0C87">
      <w:pPr>
        <w:ind w:left="567"/>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GARANTIA DE EXECUÇÃO</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pPr>
      <w:r>
        <w:rPr>
          <w:rFonts w:ascii="Times New Roman" w:hAnsi="Times New Roman" w:cs="Times New Roman"/>
          <w:sz w:val="22"/>
          <w:szCs w:val="22"/>
        </w:rPr>
        <w:t xml:space="preserve">Será exigida a prestação de garantia na presente contratação, conforme regras constantes do Termo de </w:t>
      </w:r>
      <w:proofErr w:type="gramStart"/>
      <w:r>
        <w:rPr>
          <w:rFonts w:ascii="Times New Roman" w:hAnsi="Times New Roman" w:cs="Times New Roman"/>
          <w:sz w:val="22"/>
          <w:szCs w:val="22"/>
        </w:rPr>
        <w:t>Referência</w:t>
      </w:r>
      <w:proofErr w:type="gramEnd"/>
    </w:p>
    <w:p w:rsidR="002C0C87" w:rsidRDefault="002C0C87">
      <w:pPr>
        <w:ind w:left="567"/>
        <w:jc w:val="both"/>
        <w:rPr>
          <w:rFonts w:ascii="Times New Roman" w:hAnsi="Times New Roman" w:cs="Times New Roman"/>
          <w:sz w:val="22"/>
          <w:szCs w:val="22"/>
        </w:rPr>
      </w:pPr>
    </w:p>
    <w:p w:rsidR="002C0C87" w:rsidRDefault="002C0C87">
      <w:pPr>
        <w:ind w:left="567"/>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TERMO DE CONTRATO OU INSTRUMENTO EQUIVALENTE</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pPr>
      <w:r>
        <w:rPr>
          <w:rFonts w:ascii="Times New Roman" w:hAnsi="Times New Roman" w:cs="Times New Roman"/>
          <w:sz w:val="22"/>
          <w:szCs w:val="22"/>
        </w:rPr>
        <w:t xml:space="preserve">Após a homologação da licitação, em sendo realizada a contratação, será </w:t>
      </w:r>
      <w:proofErr w:type="gramStart"/>
      <w:r>
        <w:rPr>
          <w:rFonts w:ascii="Times New Roman" w:hAnsi="Times New Roman" w:cs="Times New Roman"/>
          <w:sz w:val="22"/>
          <w:szCs w:val="22"/>
        </w:rPr>
        <w:t>firmado</w:t>
      </w:r>
      <w:proofErr w:type="gramEnd"/>
      <w:r>
        <w:rPr>
          <w:rFonts w:ascii="Times New Roman" w:hAnsi="Times New Roman" w:cs="Times New Roman"/>
          <w:sz w:val="22"/>
          <w:szCs w:val="22"/>
        </w:rPr>
        <w:t xml:space="preserve"> Termo de Contrato ou emitido instrumento equivalente.</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adjudicatário terá o prazo de 10 (dez) dias úteis, dias úteis, contados a partir da data de sua convocação, para assinar o Termo de Contrato ou aceitar instrumento equivalente, conforme o caso </w:t>
      </w:r>
      <w:r>
        <w:rPr>
          <w:rFonts w:ascii="Times New Roman" w:hAnsi="Times New Roman" w:cs="Times New Roman"/>
          <w:sz w:val="22"/>
          <w:szCs w:val="22"/>
        </w:rPr>
        <w:lastRenderedPageBreak/>
        <w:t xml:space="preserve">(Nota de Empenho/Carta Contrato/Autorização),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decair do direito à contratação, sem prejuízo das sanções previstas neste Edital. </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Alternativamente à convocação para comparecer perante o órgão ou entidade para a assinatura do Termo de Contrato, a Administração poderá encaminhá-lo para assinatura, mediante correspondência postal com aviso de recebimento (AR), disponibilização de acesso a sistema de processo eletrônico para esse fim ou outro meio eletrônico, para que seja assinado e devolvido no prazo de 10 (dez) dias úteis, a contar da data de seu recebimento ou da disponibilização do acesso ao sistema de processo eletrônico. </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O prazo previsto no subitem anterior poderá ser prorrogado, por igual período, por solicitação justificada do adjudicatário e aceita pela Administração.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O Aceite da Nota de Empenho ou do instrumento equivalente, emitida à empresa adjudicada, implica no reconhecimento de que:</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referida</w:t>
      </w:r>
      <w:proofErr w:type="gramEnd"/>
      <w:r>
        <w:rPr>
          <w:rFonts w:ascii="Times New Roman" w:hAnsi="Times New Roman" w:cs="Times New Roman"/>
          <w:sz w:val="22"/>
          <w:szCs w:val="22"/>
        </w:rPr>
        <w:t xml:space="preserve"> Nota está substituindo o contrato, aplicando-se à relação de negócios ali estabelecida as disposições da Lei nº 8.666, de 1993;</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contratada se vincula à sua proposta e às previsões contidas no edital e seus anexos;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contratada reconhece que as hipóteses de rescisão são aquelas previstas nos artigos 77 e 78 da Lei nº 8.666/93 e reconhece os direitos da Administração previstos nos artigos 79 e 80 da mesma Lei.</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prazo de vigência da contratação é o estabelecido no Termo de Referência. </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2C0C87" w:rsidRDefault="006D2EFC">
      <w:pPr>
        <w:numPr>
          <w:ilvl w:val="2"/>
          <w:numId w:val="2"/>
        </w:numPr>
        <w:ind w:left="567" w:firstLine="0"/>
        <w:jc w:val="both"/>
        <w:rPr>
          <w:color w:val="000000"/>
        </w:rPr>
      </w:pPr>
      <w:r>
        <w:rPr>
          <w:rFonts w:ascii="Times New Roman" w:hAnsi="Times New Roman" w:cs="Times New Roman"/>
          <w:sz w:val="22"/>
          <w:szCs w:val="22"/>
        </w:rPr>
        <w:t>Nos casos em que houver necessidade de assinatura do instrumento de contrato, e o fornecedor não estiver inscrito no SICAF, este deverá proceder ao seu cadastramento, sem ônus, antes da contratação.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Na hipótese de irregularidade do registro no SICAF, o contratado deverá regularizar a sua situação perante o cadastro no prazo de até 05 (cinco) dias úteis, sob pena de aplicação das penalidades previstas no </w:t>
      </w:r>
      <w:proofErr w:type="gramStart"/>
      <w:r>
        <w:rPr>
          <w:rFonts w:ascii="Times New Roman" w:hAnsi="Times New Roman" w:cs="Times New Roman"/>
          <w:sz w:val="22"/>
          <w:szCs w:val="22"/>
        </w:rPr>
        <w:t>edital e anexos</w:t>
      </w:r>
      <w:proofErr w:type="gramEnd"/>
      <w:r>
        <w:rPr>
          <w:rFonts w:ascii="Times New Roman" w:hAnsi="Times New Roman" w:cs="Times New Roman"/>
          <w:sz w:val="22"/>
          <w:szCs w:val="22"/>
        </w:rPr>
        <w:t>.</w:t>
      </w:r>
    </w:p>
    <w:p w:rsidR="002C0C87" w:rsidRDefault="006D2EFC">
      <w:pPr>
        <w:numPr>
          <w:ilvl w:val="1"/>
          <w:numId w:val="2"/>
        </w:numPr>
        <w:ind w:left="0" w:firstLine="0"/>
        <w:jc w:val="both"/>
        <w:rPr>
          <w:color w:val="000000"/>
        </w:rPr>
      </w:pPr>
      <w:r>
        <w:rPr>
          <w:rFonts w:ascii="Times New Roman" w:hAnsi="Times New Roman" w:cs="Times New Roman"/>
          <w:sz w:val="22"/>
          <w:szCs w:val="22"/>
        </w:rPr>
        <w:t>Na assinatura do contrato ou da ata de registro de preços, será exigida a comprovação das condições de habilitação consignadas no edital, que deverão ser mantidas pelo licitante durante a vigência do contrato ou da ata de registro de preços.</w:t>
      </w:r>
    </w:p>
    <w:p w:rsidR="002C0C87" w:rsidRDefault="006D2EFC">
      <w:pPr>
        <w:numPr>
          <w:ilvl w:val="1"/>
          <w:numId w:val="2"/>
        </w:numPr>
        <w:ind w:left="0" w:firstLine="0"/>
        <w:jc w:val="both"/>
      </w:pPr>
      <w:r>
        <w:rPr>
          <w:rFonts w:ascii="Times New Roman" w:hAnsi="Times New Roman" w:cs="Times New Roman"/>
          <w:sz w:val="22"/>
          <w:szCs w:val="22"/>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REAJUSTAMENTO EM SENTIDO GERAL</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pPr>
      <w:r>
        <w:rPr>
          <w:rFonts w:ascii="Times New Roman" w:hAnsi="Times New Roman" w:cs="Times New Roman"/>
          <w:sz w:val="22"/>
          <w:szCs w:val="22"/>
        </w:rPr>
        <w:t>As regras acerca do reajustamento em sentido geral do valor contratual são as estabelecidas no Termo de Referência, anexo a este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RECEBIMENTO DO OBJETO E DA FISCALIZAÇÃO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pPr>
      <w:r>
        <w:rPr>
          <w:rFonts w:ascii="Times New Roman" w:hAnsi="Times New Roman" w:cs="Times New Roman"/>
          <w:sz w:val="22"/>
          <w:szCs w:val="22"/>
        </w:rPr>
        <w:t>Os critérios de recebimento e aceitação do objeto e de fiscalização estão previstos no Termo de Referência.</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color w:val="000000"/>
        </w:rPr>
      </w:pPr>
      <w:r>
        <w:rPr>
          <w:rFonts w:ascii="Times New Roman" w:hAnsi="Times New Roman" w:cs="Times New Roman"/>
          <w:b/>
          <w:sz w:val="22"/>
          <w:szCs w:val="22"/>
        </w:rPr>
        <w:t>DAS OBRIGAÇÕES DA CONTRATANTE E DA CONTRATADA</w:t>
      </w:r>
    </w:p>
    <w:p w:rsidR="002C0C87" w:rsidRDefault="006D2EFC">
      <w:pPr>
        <w:numPr>
          <w:ilvl w:val="1"/>
          <w:numId w:val="2"/>
        </w:numPr>
        <w:ind w:left="0" w:firstLine="0"/>
        <w:jc w:val="both"/>
      </w:pPr>
      <w:r>
        <w:rPr>
          <w:rFonts w:ascii="Times New Roman" w:hAnsi="Times New Roman" w:cs="Times New Roman"/>
          <w:sz w:val="22"/>
          <w:szCs w:val="22"/>
        </w:rPr>
        <w:t>As obrigações da Contratante e da Contratada são as estabelecidas no Termo de Referência.</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color w:val="000000"/>
        </w:rPr>
      </w:pPr>
      <w:r>
        <w:rPr>
          <w:rFonts w:ascii="Times New Roman" w:hAnsi="Times New Roman" w:cs="Times New Roman"/>
          <w:b/>
          <w:sz w:val="22"/>
          <w:szCs w:val="22"/>
        </w:rPr>
        <w:t>DO PAGAMENTO</w:t>
      </w:r>
    </w:p>
    <w:p w:rsidR="002C0C87" w:rsidRDefault="006D2EFC">
      <w:pPr>
        <w:numPr>
          <w:ilvl w:val="1"/>
          <w:numId w:val="2"/>
        </w:numPr>
        <w:ind w:left="0" w:firstLine="0"/>
        <w:jc w:val="both"/>
        <w:rPr>
          <w:color w:val="000000"/>
        </w:rPr>
      </w:pPr>
      <w:r>
        <w:rPr>
          <w:rFonts w:ascii="Times New Roman" w:hAnsi="Times New Roman" w:cs="Times New Roman"/>
          <w:sz w:val="22"/>
          <w:szCs w:val="22"/>
        </w:rPr>
        <w:t>As regras acerca do pagamento são as estabelecidas no Termo de Referência, anexo a este Edital.</w:t>
      </w:r>
    </w:p>
    <w:p w:rsidR="002C0C87" w:rsidRDefault="006D2EFC">
      <w:pPr>
        <w:numPr>
          <w:ilvl w:val="2"/>
          <w:numId w:val="2"/>
        </w:numPr>
        <w:ind w:left="567" w:firstLine="0"/>
        <w:jc w:val="both"/>
      </w:pPr>
      <w:r>
        <w:rPr>
          <w:rFonts w:ascii="Times New Roman" w:hAnsi="Times New Roman" w:cs="Times New Roman"/>
          <w:sz w:val="22"/>
          <w:szCs w:val="22"/>
        </w:rPr>
        <w:t>É admitida a cessão de crédito decorrente da contratação de que trata este Instrumento Convocatório, nos termos do previsto na minuta contratual anexa a este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DAS SANÇÕES ADMINISTRATIVAS</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Comete infração administrativa, nos termos da Lei nº 10.520, de 2002, o licitante/adjudicatário que: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assinar o termo de contrato ou aceitar/retirar o instrumento equivalente, quando convocado dentro do prazo de validade da proposta;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assinar a ata de registro de preços, quando cabível;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documentação falsa;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deixar</w:t>
      </w:r>
      <w:proofErr w:type="gramEnd"/>
      <w:r>
        <w:rPr>
          <w:rFonts w:ascii="Times New Roman" w:hAnsi="Times New Roman" w:cs="Times New Roman"/>
          <w:sz w:val="22"/>
          <w:szCs w:val="22"/>
        </w:rPr>
        <w:t xml:space="preserve"> de entregar os documentos exigidos no certame;</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ensejar</w:t>
      </w:r>
      <w:proofErr w:type="gramEnd"/>
      <w:r>
        <w:rPr>
          <w:rFonts w:ascii="Times New Roman" w:hAnsi="Times New Roman" w:cs="Times New Roman"/>
          <w:sz w:val="22"/>
          <w:szCs w:val="22"/>
        </w:rPr>
        <w:t xml:space="preserve"> o retardamento da execução do objeto;</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mantiver a proposta;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cometer</w:t>
      </w:r>
      <w:proofErr w:type="gramEnd"/>
      <w:r>
        <w:rPr>
          <w:rFonts w:ascii="Times New Roman" w:hAnsi="Times New Roman" w:cs="Times New Roman"/>
          <w:sz w:val="22"/>
          <w:szCs w:val="22"/>
        </w:rPr>
        <w:t xml:space="preserve"> fraude fiscal;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comportar</w:t>
      </w:r>
      <w:proofErr w:type="gramEnd"/>
      <w:r>
        <w:rPr>
          <w:rFonts w:ascii="Times New Roman" w:hAnsi="Times New Roman" w:cs="Times New Roman"/>
          <w:sz w:val="22"/>
          <w:szCs w:val="22"/>
        </w:rPr>
        <w:t>-se de modo inidôneo;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As sanções do item acima também se aplicam aos integrantes do cadastro de reserva, em pregão para registro de preços, que, convocados, não honrarem o compromisso assumido injustificadamente. </w:t>
      </w:r>
    </w:p>
    <w:p w:rsidR="002C0C87" w:rsidRDefault="006D2EFC">
      <w:pPr>
        <w:numPr>
          <w:ilvl w:val="1"/>
          <w:numId w:val="2"/>
        </w:numPr>
        <w:ind w:left="0" w:firstLine="0"/>
        <w:jc w:val="both"/>
        <w:rPr>
          <w:color w:val="000000"/>
        </w:rPr>
      </w:pPr>
      <w:r>
        <w:rPr>
          <w:rFonts w:ascii="Times New Roman" w:hAnsi="Times New Roman" w:cs="Times New Roman"/>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C0C87" w:rsidRDefault="006D2EFC">
      <w:pPr>
        <w:numPr>
          <w:ilvl w:val="1"/>
          <w:numId w:val="2"/>
        </w:numPr>
        <w:ind w:left="0" w:firstLine="0"/>
        <w:jc w:val="both"/>
        <w:rPr>
          <w:color w:val="000000"/>
        </w:rPr>
      </w:pPr>
      <w:r>
        <w:rPr>
          <w:rFonts w:ascii="Times New Roman" w:hAnsi="Times New Roman" w:cs="Times New Roman"/>
          <w:sz w:val="22"/>
          <w:szCs w:val="22"/>
        </w:rPr>
        <w:t>O licitante/adjudicatário que cometer qualquer das infrações discriminadas nos subitens anteriores ficará sujeito, sem prejuízo da responsabilidade civil e criminal, às seguintes sanções:</w:t>
      </w:r>
    </w:p>
    <w:p w:rsidR="002C0C87" w:rsidRDefault="006D2EFC">
      <w:pPr>
        <w:numPr>
          <w:ilvl w:val="2"/>
          <w:numId w:val="2"/>
        </w:numPr>
        <w:ind w:left="567" w:firstLine="0"/>
        <w:jc w:val="both"/>
        <w:rPr>
          <w:color w:val="000000"/>
        </w:rPr>
      </w:pPr>
      <w:r>
        <w:rPr>
          <w:rFonts w:ascii="Times New Roman" w:hAnsi="Times New Roman" w:cs="Times New Roman"/>
          <w:sz w:val="22"/>
          <w:szCs w:val="22"/>
        </w:rPr>
        <w:t>Advertência por faltas leves, assim entendidas como aquelas que não acarretarem prejuízos significativos ao objeto da contratação;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Multa de 10% (dez por cento) sobre o valor estimado do(s) item(s) prejudicado(s) pela conduta do licitante;</w:t>
      </w:r>
    </w:p>
    <w:p w:rsidR="002C0C87" w:rsidRDefault="006D2EFC">
      <w:pPr>
        <w:numPr>
          <w:ilvl w:val="2"/>
          <w:numId w:val="2"/>
        </w:numPr>
        <w:ind w:left="567" w:firstLine="0"/>
        <w:jc w:val="both"/>
        <w:rPr>
          <w:color w:val="000000"/>
        </w:rPr>
      </w:pPr>
      <w:r>
        <w:rPr>
          <w:rFonts w:ascii="Times New Roman" w:hAnsi="Times New Roman" w:cs="Times New Roman"/>
          <w:sz w:val="22"/>
          <w:szCs w:val="22"/>
        </w:rPr>
        <w:t>Suspensão de licitar e impedimento de contratar com o órgão, entidade ou unidade administrativa pela qual a Administração Pública opera e atua concretamente, pelo prazo de até dois anos;</w:t>
      </w:r>
    </w:p>
    <w:p w:rsidR="002C0C87" w:rsidRDefault="006D2EFC">
      <w:pPr>
        <w:numPr>
          <w:ilvl w:val="2"/>
          <w:numId w:val="2"/>
        </w:numPr>
        <w:ind w:left="567" w:firstLine="0"/>
        <w:jc w:val="both"/>
        <w:rPr>
          <w:color w:val="000000"/>
        </w:rPr>
      </w:pPr>
      <w:r>
        <w:rPr>
          <w:rFonts w:ascii="Times New Roman" w:hAnsi="Times New Roman" w:cs="Times New Roman"/>
          <w:sz w:val="22"/>
          <w:szCs w:val="22"/>
        </w:rPr>
        <w:t>Impedimento de licitar e de contratar com a União e descredenciamento no SICAF, pelo prazo de até cinco anos;</w:t>
      </w:r>
    </w:p>
    <w:p w:rsidR="002C0C87" w:rsidRDefault="006D2EFC">
      <w:pPr>
        <w:numPr>
          <w:ilvl w:val="3"/>
          <w:numId w:val="2"/>
        </w:numPr>
        <w:ind w:left="567" w:firstLine="0"/>
        <w:jc w:val="both"/>
        <w:rPr>
          <w:color w:val="000000"/>
        </w:rPr>
      </w:pPr>
      <w:r>
        <w:rPr>
          <w:rFonts w:ascii="Times New Roman" w:hAnsi="Times New Roman" w:cs="Times New Roman"/>
          <w:sz w:val="22"/>
          <w:szCs w:val="22"/>
        </w:rPr>
        <w:t>A Sanção de impedimento de licitar e contratar prevista neste subitem também é aplicável em quaisquer das hipóteses previstas como infração administrativa neste Edital.</w:t>
      </w:r>
    </w:p>
    <w:p w:rsidR="002C0C87" w:rsidRDefault="006D2EFC">
      <w:pPr>
        <w:numPr>
          <w:ilvl w:val="2"/>
          <w:numId w:val="2"/>
        </w:numPr>
        <w:ind w:left="567" w:firstLine="0"/>
        <w:jc w:val="both"/>
        <w:rPr>
          <w:color w:val="000000"/>
        </w:rPr>
      </w:pPr>
      <w:r>
        <w:rPr>
          <w:rFonts w:ascii="Times New Roman" w:hAnsi="Times New Roman" w:cs="Times New Roman"/>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C0C87" w:rsidRDefault="006D2EFC">
      <w:pPr>
        <w:numPr>
          <w:ilvl w:val="1"/>
          <w:numId w:val="2"/>
        </w:numPr>
        <w:ind w:left="0" w:firstLine="0"/>
        <w:jc w:val="both"/>
        <w:rPr>
          <w:color w:val="000000"/>
        </w:rPr>
      </w:pPr>
      <w:r>
        <w:rPr>
          <w:rFonts w:ascii="Times New Roman" w:hAnsi="Times New Roman" w:cs="Times New Roman"/>
          <w:sz w:val="22"/>
          <w:szCs w:val="22"/>
        </w:rPr>
        <w:t>A penalidade de multa pode ser aplicada cumulativamente com as demais sanções.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Se, durante o processo de aplicação de penalidade, houver indícios de prática de infração administrativa tipificada pela Lei nº 12.846, de 1º de agosto de 2013, como ato lesivo à administração </w:t>
      </w:r>
      <w:r>
        <w:rPr>
          <w:rFonts w:ascii="Times New Roman" w:hAnsi="Times New Roman" w:cs="Times New Roman"/>
          <w:sz w:val="22"/>
          <w:szCs w:val="22"/>
        </w:rPr>
        <w:lastRenderedPageBreak/>
        <w:t xml:space="preserve">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C0C87" w:rsidRDefault="006D2EFC">
      <w:pPr>
        <w:numPr>
          <w:ilvl w:val="1"/>
          <w:numId w:val="2"/>
        </w:numPr>
        <w:ind w:left="0" w:firstLine="0"/>
        <w:jc w:val="both"/>
        <w:rPr>
          <w:color w:val="000000"/>
        </w:rPr>
      </w:pPr>
      <w:r>
        <w:rPr>
          <w:rFonts w:ascii="Times New Roman" w:hAnsi="Times New Roman" w:cs="Times New Roman"/>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processamento do PAR não interfere no seguimento regular dos processos administrativos específicos para apuração da ocorrência de danos e prejuízos à Administração </w:t>
      </w:r>
      <w:proofErr w:type="gramStart"/>
      <w:r>
        <w:rPr>
          <w:rFonts w:ascii="Times New Roman" w:hAnsi="Times New Roman" w:cs="Times New Roman"/>
          <w:sz w:val="22"/>
          <w:szCs w:val="22"/>
        </w:rPr>
        <w:t>Pública Federal resultantes</w:t>
      </w:r>
      <w:proofErr w:type="gramEnd"/>
      <w:r>
        <w:rPr>
          <w:rFonts w:ascii="Times New Roman" w:hAnsi="Times New Roman" w:cs="Times New Roman"/>
          <w:sz w:val="22"/>
          <w:szCs w:val="22"/>
        </w:rPr>
        <w:t xml:space="preserve"> de ato lesivo cometido por pessoa jurídica, com ou sem a participação de agente público. </w:t>
      </w:r>
    </w:p>
    <w:p w:rsidR="002C0C87" w:rsidRDefault="006D2EFC">
      <w:pPr>
        <w:numPr>
          <w:ilvl w:val="1"/>
          <w:numId w:val="2"/>
        </w:numPr>
        <w:ind w:left="0" w:firstLine="0"/>
        <w:jc w:val="both"/>
        <w:rPr>
          <w:color w:val="000000"/>
        </w:rPr>
      </w:pPr>
      <w:r>
        <w:rPr>
          <w:rFonts w:ascii="Times New Roman" w:hAnsi="Times New Roman" w:cs="Times New Roman"/>
          <w:sz w:val="22"/>
          <w:szCs w:val="22"/>
        </w:rPr>
        <w:t>Caso o valor da multa não seja suficiente para cobrir os prejuízos causados pela conduta do licitante, a União ou Entidade poderá cobrar o valor remanescente judicialmente, conforme artigo 419 do Código Civil.</w:t>
      </w:r>
    </w:p>
    <w:p w:rsidR="002C0C87" w:rsidRDefault="006D2EFC">
      <w:pPr>
        <w:numPr>
          <w:ilvl w:val="1"/>
          <w:numId w:val="2"/>
        </w:numPr>
        <w:ind w:left="0" w:firstLine="0"/>
        <w:jc w:val="both"/>
        <w:rPr>
          <w:color w:val="000000"/>
        </w:rPr>
      </w:pPr>
      <w:r>
        <w:rPr>
          <w:rFonts w:ascii="Times New Roman" w:hAnsi="Times New Roman"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2C0C87" w:rsidRDefault="006D2EFC">
      <w:pPr>
        <w:numPr>
          <w:ilvl w:val="1"/>
          <w:numId w:val="2"/>
        </w:numPr>
        <w:ind w:left="0" w:firstLine="0"/>
        <w:jc w:val="both"/>
        <w:rPr>
          <w:color w:val="000000"/>
        </w:rPr>
      </w:pPr>
      <w:r>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2C0C87" w:rsidRDefault="006D2EFC">
      <w:pPr>
        <w:numPr>
          <w:ilvl w:val="1"/>
          <w:numId w:val="2"/>
        </w:numPr>
        <w:ind w:left="0" w:firstLine="0"/>
        <w:jc w:val="both"/>
        <w:rPr>
          <w:color w:val="000000"/>
        </w:rPr>
      </w:pPr>
      <w:r>
        <w:rPr>
          <w:rFonts w:ascii="Times New Roman" w:hAnsi="Times New Roman" w:cs="Times New Roman"/>
          <w:sz w:val="22"/>
          <w:szCs w:val="22"/>
        </w:rPr>
        <w:t>As penalidades serão obrigatoriamente registradas no SICAF.</w:t>
      </w:r>
    </w:p>
    <w:p w:rsidR="002C0C87" w:rsidRDefault="006D2EFC">
      <w:pPr>
        <w:numPr>
          <w:ilvl w:val="1"/>
          <w:numId w:val="2"/>
        </w:numPr>
        <w:ind w:left="0" w:firstLine="0"/>
        <w:jc w:val="both"/>
      </w:pPr>
      <w:r>
        <w:rPr>
          <w:rFonts w:ascii="Times New Roman" w:hAnsi="Times New Roman" w:cs="Times New Roman"/>
          <w:sz w:val="22"/>
          <w:szCs w:val="22"/>
        </w:rPr>
        <w:t>As sanções por atos praticados no decorrer da contratação estão previstas no Termo de Referência.</w:t>
      </w:r>
    </w:p>
    <w:p w:rsidR="002C0C87" w:rsidRDefault="002C0C87">
      <w:pPr>
        <w:jc w:val="both"/>
        <w:rPr>
          <w:rFonts w:ascii="Times New Roman" w:hAnsi="Times New Roman" w:cs="Times New Roman"/>
          <w:color w:val="000000"/>
          <w:sz w:val="22"/>
          <w:szCs w:val="22"/>
        </w:rPr>
      </w:pPr>
    </w:p>
    <w:p w:rsidR="002C0C87" w:rsidRDefault="002C0C87">
      <w:pPr>
        <w:ind w:left="735"/>
        <w:jc w:val="both"/>
        <w:rPr>
          <w:rFonts w:ascii="Times New Roman" w:hAnsi="Times New Roman" w:cs="Times New Roman"/>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IMPUGNAÇÃO AO EDITAL E DO PEDIDO DE ESCLARECIMENTO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Até 03 (três) dias úteis antes da data designada para a abertura da sessão pública, qualquer pessoa poderá impugnar este Edital.</w:t>
      </w:r>
    </w:p>
    <w:p w:rsidR="002C0C87" w:rsidRDefault="006D2EFC">
      <w:pPr>
        <w:numPr>
          <w:ilvl w:val="1"/>
          <w:numId w:val="2"/>
        </w:numPr>
        <w:ind w:left="0" w:firstLine="0"/>
        <w:jc w:val="both"/>
      </w:pPr>
      <w:r>
        <w:rPr>
          <w:rFonts w:ascii="Times New Roman" w:hAnsi="Times New Roman" w:cs="Times New Roman"/>
          <w:sz w:val="22"/>
          <w:szCs w:val="22"/>
        </w:rPr>
        <w:t xml:space="preserve">A impugnação poderá ser realizada por forma eletrônica, pelo e-mail licit.04@ifms.edu.br ou por petição dirigida ou protocolada no endereço Rua Jornalista Belizário de Lima, 236 - Vila Gloria -,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seção DIRLI.</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Caberá ao Pregoeiro, auxiliado pelos responsáveis pela elaboração deste Edital e seus anexos, decidir sobre a impugnação no prazo de até </w:t>
      </w:r>
      <w:proofErr w:type="gramStart"/>
      <w:r>
        <w:rPr>
          <w:rFonts w:ascii="Times New Roman" w:hAnsi="Times New Roman" w:cs="Times New Roman"/>
          <w:sz w:val="22"/>
          <w:szCs w:val="22"/>
        </w:rPr>
        <w:t>2</w:t>
      </w:r>
      <w:proofErr w:type="gramEnd"/>
      <w:r>
        <w:rPr>
          <w:rFonts w:ascii="Times New Roman" w:hAnsi="Times New Roman" w:cs="Times New Roman"/>
          <w:sz w:val="22"/>
          <w:szCs w:val="22"/>
        </w:rPr>
        <w:t xml:space="preserve"> (dois) dias úteis contados da data de recebimento da impugnação.</w:t>
      </w:r>
    </w:p>
    <w:p w:rsidR="002C0C87" w:rsidRDefault="006D2EFC">
      <w:pPr>
        <w:numPr>
          <w:ilvl w:val="1"/>
          <w:numId w:val="2"/>
        </w:numPr>
        <w:ind w:left="0" w:firstLine="0"/>
        <w:jc w:val="both"/>
        <w:rPr>
          <w:color w:val="000000"/>
        </w:rPr>
      </w:pPr>
      <w:r>
        <w:rPr>
          <w:rFonts w:ascii="Times New Roman" w:hAnsi="Times New Roman" w:cs="Times New Roman"/>
          <w:sz w:val="22"/>
          <w:szCs w:val="22"/>
        </w:rPr>
        <w:t>Acolhida a impugnação, será definida e publicada nova data para a realização do certame.</w:t>
      </w:r>
    </w:p>
    <w:p w:rsidR="002C0C87" w:rsidRDefault="006D2EFC">
      <w:pPr>
        <w:numPr>
          <w:ilvl w:val="1"/>
          <w:numId w:val="2"/>
        </w:numPr>
        <w:ind w:left="0" w:firstLine="0"/>
        <w:jc w:val="both"/>
        <w:rPr>
          <w:color w:val="000000"/>
        </w:rPr>
      </w:pPr>
      <w:r>
        <w:rPr>
          <w:rFonts w:ascii="Times New Roman" w:hAnsi="Times New Roman" w:cs="Times New Roman"/>
          <w:sz w:val="22"/>
          <w:szCs w:val="22"/>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Pregoeiro responderá aos pedidos de esclarecimentos no prazo de </w:t>
      </w:r>
      <w:proofErr w:type="gramStart"/>
      <w:r>
        <w:rPr>
          <w:rFonts w:ascii="Times New Roman" w:hAnsi="Times New Roman" w:cs="Times New Roman"/>
          <w:sz w:val="22"/>
          <w:szCs w:val="22"/>
        </w:rPr>
        <w:t>2</w:t>
      </w:r>
      <w:proofErr w:type="gramEnd"/>
      <w:r>
        <w:rPr>
          <w:rFonts w:ascii="Times New Roman" w:hAnsi="Times New Roman" w:cs="Times New Roman"/>
          <w:sz w:val="22"/>
          <w:szCs w:val="22"/>
        </w:rPr>
        <w:t xml:space="preserve"> (dois) dias úteis, contado da data de recebimento do pedido, e poderá requisitar subsídios formais aos responsáveis pela elaboração do Edital e dos anexos.</w:t>
      </w:r>
    </w:p>
    <w:p w:rsidR="002C0C87" w:rsidRDefault="006D2EFC">
      <w:pPr>
        <w:numPr>
          <w:ilvl w:val="1"/>
          <w:numId w:val="2"/>
        </w:numPr>
        <w:ind w:left="0" w:firstLine="0"/>
        <w:jc w:val="both"/>
        <w:rPr>
          <w:color w:val="000000"/>
        </w:rPr>
      </w:pPr>
      <w:r>
        <w:rPr>
          <w:rFonts w:ascii="Times New Roman" w:hAnsi="Times New Roman" w:cs="Times New Roman"/>
          <w:sz w:val="22"/>
          <w:szCs w:val="22"/>
        </w:rPr>
        <w:t>As impugnações e pedidos de esclarecimentos não suspendem os prazos previstos no certame.</w:t>
      </w:r>
    </w:p>
    <w:p w:rsidR="002C0C87" w:rsidRDefault="006D2EFC">
      <w:pPr>
        <w:numPr>
          <w:ilvl w:val="2"/>
          <w:numId w:val="2"/>
        </w:numPr>
        <w:ind w:left="567" w:firstLine="0"/>
        <w:jc w:val="both"/>
        <w:rPr>
          <w:color w:val="000000"/>
        </w:rPr>
      </w:pPr>
      <w:r>
        <w:rPr>
          <w:rFonts w:ascii="Times New Roman" w:hAnsi="Times New Roman" w:cs="Times New Roman"/>
          <w:sz w:val="22"/>
          <w:szCs w:val="22"/>
        </w:rPr>
        <w:t>A concessão de efeito suspensivo à impugnação é medida excepcional e deverá ser motivada pelo pregoeiro, nos autos do processo de licitação.</w:t>
      </w:r>
    </w:p>
    <w:p w:rsidR="002C0C87" w:rsidRDefault="006D2EFC">
      <w:pPr>
        <w:numPr>
          <w:ilvl w:val="1"/>
          <w:numId w:val="2"/>
        </w:numPr>
        <w:ind w:left="0" w:firstLine="0"/>
        <w:jc w:val="both"/>
      </w:pPr>
      <w:r>
        <w:rPr>
          <w:rFonts w:ascii="Times New Roman" w:hAnsi="Times New Roman" w:cs="Times New Roman"/>
          <w:sz w:val="22"/>
          <w:szCs w:val="22"/>
        </w:rPr>
        <w:t>As respostas aos pedidos de esclarecimentos serão divulgadas pelo sistema e vincularão os participantes e a Administração.</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DAS DISPOSIÇÕES GERAIS</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Da sessão pública do Pregão divulgar-se-á Ata no sistema eletrônico.</w:t>
      </w:r>
    </w:p>
    <w:p w:rsidR="002C0C87" w:rsidRDefault="006D2EFC">
      <w:pPr>
        <w:numPr>
          <w:ilvl w:val="1"/>
          <w:numId w:val="2"/>
        </w:numPr>
        <w:ind w:left="0" w:firstLine="0"/>
        <w:jc w:val="both"/>
        <w:rPr>
          <w:color w:val="000000"/>
        </w:rPr>
      </w:pPr>
      <w:r>
        <w:rPr>
          <w:rFonts w:ascii="Times New Roman" w:hAnsi="Times New Roman" w:cs="Times New Roman"/>
          <w:sz w:val="22"/>
          <w:szCs w:val="22"/>
        </w:rPr>
        <w:lastRenderedPageBreak/>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2C0C87" w:rsidRDefault="006D2EFC">
      <w:pPr>
        <w:numPr>
          <w:ilvl w:val="1"/>
          <w:numId w:val="2"/>
        </w:numPr>
        <w:ind w:left="0" w:firstLine="0"/>
        <w:jc w:val="both"/>
        <w:rPr>
          <w:color w:val="000000"/>
        </w:rPr>
      </w:pPr>
      <w:r>
        <w:rPr>
          <w:rFonts w:ascii="Times New Roman" w:hAnsi="Times New Roman" w:cs="Times New Roman"/>
          <w:sz w:val="22"/>
          <w:szCs w:val="22"/>
        </w:rPr>
        <w:t>Todas as referências de tempo no Edital, no aviso e durante a sessão pública observarão o horário de Brasília – DF.</w:t>
      </w:r>
    </w:p>
    <w:p w:rsidR="002C0C87" w:rsidRDefault="006D2EFC">
      <w:pPr>
        <w:numPr>
          <w:ilvl w:val="1"/>
          <w:numId w:val="2"/>
        </w:numPr>
        <w:ind w:left="0" w:firstLine="0"/>
        <w:jc w:val="both"/>
        <w:rPr>
          <w:color w:val="000000"/>
        </w:rPr>
      </w:pPr>
      <w:r>
        <w:rPr>
          <w:rFonts w:ascii="Times New Roman" w:hAnsi="Times New Roman" w:cs="Times New Roman"/>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C0C87" w:rsidRDefault="006D2EFC">
      <w:pPr>
        <w:numPr>
          <w:ilvl w:val="1"/>
          <w:numId w:val="2"/>
        </w:numPr>
        <w:ind w:left="0" w:firstLine="0"/>
        <w:jc w:val="both"/>
        <w:rPr>
          <w:color w:val="000000"/>
        </w:rPr>
      </w:pPr>
      <w:r>
        <w:rPr>
          <w:rFonts w:ascii="Times New Roman" w:hAnsi="Times New Roman" w:cs="Times New Roman"/>
          <w:sz w:val="22"/>
          <w:szCs w:val="22"/>
        </w:rPr>
        <w:t>A homologação do resultado desta licitação não implicará direito à contratação.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2C0C87" w:rsidRDefault="006D2EFC">
      <w:pPr>
        <w:numPr>
          <w:ilvl w:val="1"/>
          <w:numId w:val="2"/>
        </w:numPr>
        <w:ind w:left="0" w:firstLine="0"/>
        <w:jc w:val="both"/>
        <w:rPr>
          <w:color w:val="000000"/>
        </w:rPr>
      </w:pPr>
      <w:r>
        <w:rPr>
          <w:rFonts w:ascii="Times New Roman" w:hAnsi="Times New Roman" w:cs="Times New Roman"/>
          <w:sz w:val="22"/>
          <w:szCs w:val="22"/>
        </w:rPr>
        <w:t>Na contagem dos prazos estabelecidos neste Edital e seus Anexos, excluir-se-á o dia do início e incluir-se-á o do vencimento. Só se iniciam e vencem os prazos em dias de expediente na Administração.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desatendimento de exigências formais não essenciais não importará o afastamento do licitante, desde que seja possível o aproveitamento do ato, </w:t>
      </w:r>
      <w:proofErr w:type="gramStart"/>
      <w:r>
        <w:rPr>
          <w:rFonts w:ascii="Times New Roman" w:hAnsi="Times New Roman" w:cs="Times New Roman"/>
          <w:sz w:val="22"/>
          <w:szCs w:val="22"/>
        </w:rPr>
        <w:t>observados</w:t>
      </w:r>
      <w:proofErr w:type="gramEnd"/>
      <w:r>
        <w:rPr>
          <w:rFonts w:ascii="Times New Roman" w:hAnsi="Times New Roman" w:cs="Times New Roman"/>
          <w:sz w:val="22"/>
          <w:szCs w:val="22"/>
        </w:rPr>
        <w:t xml:space="preserve"> os princípios da isonomia e do interesse público.</w:t>
      </w:r>
    </w:p>
    <w:p w:rsidR="002C0C87" w:rsidRDefault="006D2EFC">
      <w:pPr>
        <w:numPr>
          <w:ilvl w:val="1"/>
          <w:numId w:val="2"/>
        </w:numPr>
        <w:ind w:left="0" w:firstLine="0"/>
        <w:jc w:val="both"/>
        <w:rPr>
          <w:color w:val="000000"/>
        </w:rPr>
      </w:pPr>
      <w:r>
        <w:rPr>
          <w:rFonts w:ascii="Times New Roman" w:hAnsi="Times New Roman" w:cs="Times New Roman"/>
          <w:sz w:val="22"/>
          <w:szCs w:val="22"/>
        </w:rPr>
        <w:t>Em caso de divergência entre disposições deste Edital e de seus anexos ou demais peças que compõem o processo, prevalecerá as deste Edital.</w:t>
      </w:r>
    </w:p>
    <w:p w:rsidR="002C0C87" w:rsidRDefault="006D2EFC">
      <w:pPr>
        <w:numPr>
          <w:ilvl w:val="1"/>
          <w:numId w:val="2"/>
        </w:numPr>
        <w:ind w:left="0" w:firstLine="0"/>
        <w:jc w:val="both"/>
      </w:pPr>
      <w:r>
        <w:rPr>
          <w:rFonts w:ascii="Times New Roman" w:hAnsi="Times New Roman" w:cs="Times New Roman"/>
          <w:sz w:val="22"/>
          <w:szCs w:val="22"/>
        </w:rPr>
        <w:t xml:space="preserve">O Edital está disponibilizado, na íntegra, no endereço eletrônico </w:t>
      </w:r>
      <w:hyperlink r:id="rId13">
        <w:r>
          <w:rPr>
            <w:rFonts w:ascii="Times New Roman" w:hAnsi="Times New Roman" w:cs="Times New Roman"/>
            <w:color w:val="000080"/>
            <w:sz w:val="22"/>
            <w:szCs w:val="22"/>
            <w:u w:val="single"/>
          </w:rPr>
          <w:t>www.compras.gov.br</w:t>
        </w:r>
      </w:hyperlink>
      <w:r>
        <w:rPr>
          <w:rFonts w:ascii="Times New Roman" w:hAnsi="Times New Roman" w:cs="Times New Roman"/>
          <w:sz w:val="22"/>
          <w:szCs w:val="22"/>
        </w:rPr>
        <w:t xml:space="preserve"> e </w:t>
      </w:r>
      <w:proofErr w:type="gramStart"/>
      <w:r>
        <w:rPr>
          <w:rFonts w:ascii="Times New Roman" w:hAnsi="Times New Roman" w:cs="Times New Roman"/>
          <w:sz w:val="22"/>
          <w:szCs w:val="22"/>
        </w:rPr>
        <w:t>https</w:t>
      </w:r>
      <w:proofErr w:type="gramEnd"/>
      <w:r>
        <w:rPr>
          <w:rFonts w:ascii="Times New Roman" w:hAnsi="Times New Roman" w:cs="Times New Roman"/>
          <w:sz w:val="22"/>
          <w:szCs w:val="22"/>
        </w:rPr>
        <w:t xml:space="preserve">://www.ifms.edu.br/acesso-a-informacao/licitacoes-contratos/reitoria/licitacoes-1, </w:t>
      </w:r>
      <w:proofErr w:type="spellStart"/>
      <w:r>
        <w:rPr>
          <w:rFonts w:ascii="Times New Roman" w:hAnsi="Times New Roman" w:cs="Times New Roman"/>
          <w:sz w:val="22"/>
          <w:szCs w:val="22"/>
        </w:rPr>
        <w:t>e</w:t>
      </w:r>
      <w:proofErr w:type="spellEnd"/>
      <w:r>
        <w:rPr>
          <w:rFonts w:ascii="Times New Roman" w:hAnsi="Times New Roman" w:cs="Times New Roman"/>
          <w:sz w:val="22"/>
          <w:szCs w:val="22"/>
        </w:rPr>
        <w:t xml:space="preserve"> também poderão ser lidos e/ou obtidos no endereço Rua Jornalista Belizário de Lima, 236 - Vila Gloria -,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seção DIRLI, nos dias úteis, no horário das 09:00 horas às 16:00 horas, mesmo endereço e período no qual os autos do processo administrativo permanecerão com vista franqueada aos interessados.</w:t>
      </w:r>
    </w:p>
    <w:p w:rsidR="002C0C87" w:rsidRDefault="006D2EFC">
      <w:pPr>
        <w:numPr>
          <w:ilvl w:val="1"/>
          <w:numId w:val="2"/>
        </w:numPr>
        <w:ind w:left="0" w:firstLine="0"/>
        <w:jc w:val="both"/>
        <w:rPr>
          <w:color w:val="000000"/>
        </w:rPr>
      </w:pPr>
      <w:r>
        <w:rPr>
          <w:rFonts w:ascii="Times New Roman" w:hAnsi="Times New Roman" w:cs="Times New Roman"/>
          <w:sz w:val="22"/>
          <w:szCs w:val="22"/>
        </w:rPr>
        <w:t>Integram este Edital, para todos os fins e efeitos, os seguintes anexos:</w:t>
      </w:r>
    </w:p>
    <w:p w:rsidR="002C0C87" w:rsidRDefault="006D2EFC">
      <w:pPr>
        <w:numPr>
          <w:ilvl w:val="2"/>
          <w:numId w:val="2"/>
        </w:numPr>
        <w:ind w:left="567" w:firstLine="0"/>
        <w:jc w:val="both"/>
        <w:rPr>
          <w:color w:val="000000"/>
        </w:rPr>
      </w:pPr>
      <w:r>
        <w:rPr>
          <w:rFonts w:ascii="Times New Roman" w:hAnsi="Times New Roman" w:cs="Times New Roman"/>
          <w:sz w:val="22"/>
          <w:szCs w:val="22"/>
        </w:rPr>
        <w:t>ANEXO I - Termo de Referência;</w:t>
      </w:r>
    </w:p>
    <w:p w:rsidR="002C0C87" w:rsidRDefault="006D2EFC">
      <w:pPr>
        <w:numPr>
          <w:ilvl w:val="3"/>
          <w:numId w:val="2"/>
        </w:numPr>
        <w:ind w:hanging="720"/>
        <w:jc w:val="both"/>
        <w:rPr>
          <w:rFonts w:ascii="Times New Roman" w:hAnsi="Times New Roman" w:cs="Times New Roman"/>
          <w:sz w:val="22"/>
          <w:szCs w:val="22"/>
        </w:rPr>
      </w:pPr>
      <w:r>
        <w:rPr>
          <w:rFonts w:ascii="Times New Roman" w:hAnsi="Times New Roman" w:cs="Times New Roman"/>
          <w:sz w:val="22"/>
          <w:szCs w:val="22"/>
        </w:rPr>
        <w:t>Apêndice do Anexo:</w:t>
      </w:r>
    </w:p>
    <w:p w:rsidR="002C0C87" w:rsidRDefault="006D2EFC">
      <w:pPr>
        <w:numPr>
          <w:ilvl w:val="3"/>
          <w:numId w:val="2"/>
        </w:numPr>
        <w:ind w:hanging="720"/>
        <w:jc w:val="both"/>
        <w:rPr>
          <w:rFonts w:ascii="Times New Roman" w:hAnsi="Times New Roman" w:cs="Times New Roman"/>
          <w:sz w:val="22"/>
          <w:szCs w:val="22"/>
        </w:rPr>
      </w:pPr>
      <w:r>
        <w:rPr>
          <w:rFonts w:ascii="Times New Roman" w:hAnsi="Times New Roman" w:cs="Times New Roman"/>
          <w:sz w:val="22"/>
          <w:szCs w:val="22"/>
        </w:rPr>
        <w:t>I - Estudo Técnico Preliminar</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II - Minuta do Contrato</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III - Modela da Proposta de Preços</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IV - Modelo de Declaração de Vistoria</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IV-A - Declaração de Não Realização de Vistoria</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ANEXO V - Instrumento de Medição de Resultados (IMR) </w:t>
      </w:r>
    </w:p>
    <w:p w:rsidR="0064219A" w:rsidRDefault="00FA1058">
      <w:pPr>
        <w:numPr>
          <w:ilvl w:val="2"/>
          <w:numId w:val="2"/>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ANEXO VI</w:t>
      </w:r>
      <w:proofErr w:type="gramEnd"/>
      <w:r>
        <w:rPr>
          <w:rFonts w:ascii="Times New Roman" w:hAnsi="Times New Roman" w:cs="Times New Roman"/>
          <w:sz w:val="22"/>
          <w:szCs w:val="22"/>
        </w:rPr>
        <w:t xml:space="preserve"> – Modelo de Declaração de Responsável Técnico</w:t>
      </w:r>
    </w:p>
    <w:p w:rsidR="002C0C87" w:rsidRDefault="002C0C87">
      <w:pPr>
        <w:jc w:val="both"/>
        <w:rPr>
          <w:color w:val="000000"/>
        </w:rPr>
      </w:pPr>
    </w:p>
    <w:p w:rsidR="002C0C87" w:rsidRDefault="002C0C87">
      <w:pPr>
        <w:jc w:val="right"/>
        <w:rPr>
          <w:rFonts w:ascii="Times New Roman" w:hAnsi="Times New Roman" w:cs="Times New Roman"/>
          <w:sz w:val="22"/>
          <w:szCs w:val="22"/>
        </w:rPr>
      </w:pPr>
    </w:p>
    <w:p w:rsidR="002C0C87" w:rsidRDefault="006D2EFC">
      <w:pPr>
        <w:jc w:val="right"/>
      </w:pPr>
      <w:r>
        <w:rPr>
          <w:rFonts w:ascii="Times New Roman" w:hAnsi="Times New Roman" w:cs="Times New Roman"/>
          <w:sz w:val="22"/>
          <w:szCs w:val="22"/>
        </w:rPr>
        <w:t xml:space="preserve">Campo Grande - MS, </w:t>
      </w:r>
      <w:r w:rsidR="00A63B87">
        <w:rPr>
          <w:rFonts w:ascii="Times New Roman" w:hAnsi="Times New Roman" w:cs="Times New Roman"/>
          <w:sz w:val="22"/>
          <w:szCs w:val="22"/>
        </w:rPr>
        <w:t>23</w:t>
      </w:r>
      <w:r>
        <w:rPr>
          <w:rFonts w:ascii="Times New Roman" w:hAnsi="Times New Roman" w:cs="Times New Roman"/>
          <w:sz w:val="22"/>
          <w:szCs w:val="22"/>
        </w:rPr>
        <w:t xml:space="preserve"> de </w:t>
      </w:r>
      <w:r w:rsidR="0064219A">
        <w:rPr>
          <w:rFonts w:ascii="Times New Roman" w:hAnsi="Times New Roman" w:cs="Times New Roman"/>
          <w:sz w:val="22"/>
          <w:szCs w:val="22"/>
        </w:rPr>
        <w:t>junho</w:t>
      </w:r>
      <w:r>
        <w:rPr>
          <w:rFonts w:ascii="Times New Roman" w:hAnsi="Times New Roman" w:cs="Times New Roman"/>
          <w:sz w:val="22"/>
          <w:szCs w:val="22"/>
        </w:rPr>
        <w:t xml:space="preserve"> de 2022.</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Elaine Borges Monteiro Cassiano</w:t>
      </w:r>
    </w:p>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Reitora</w:t>
      </w:r>
    </w:p>
    <w:p w:rsidR="002C0C87" w:rsidRDefault="002C0C87">
      <w:pPr>
        <w:jc w:val="center"/>
        <w:rPr>
          <w:rFonts w:ascii="Times New Roman" w:hAnsi="Times New Roman" w:cs="Times New Roman"/>
          <w:b/>
          <w:sz w:val="22"/>
          <w:szCs w:val="22"/>
        </w:rPr>
      </w:pPr>
    </w:p>
    <w:sectPr w:rsidR="002C0C87">
      <w:headerReference w:type="default" r:id="rId14"/>
      <w:footerReference w:type="default" r:id="rId15"/>
      <w:pgSz w:w="11906" w:h="16838"/>
      <w:pgMar w:top="1418" w:right="1134" w:bottom="1358" w:left="1701" w:header="709" w:footer="64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80A" w:rsidRDefault="001D180A">
      <w:r>
        <w:separator/>
      </w:r>
    </w:p>
  </w:endnote>
  <w:endnote w:type="continuationSeparator" w:id="0">
    <w:p w:rsidR="001D180A" w:rsidRDefault="001D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BoldMT">
    <w:altName w:val="Times New Roman"/>
    <w:panose1 w:val="00000000000000000000"/>
    <w:charset w:val="00"/>
    <w:family w:val="roman"/>
    <w:notTrueType/>
    <w:pitch w:val="default"/>
  </w:font>
  <w:font w:name="Card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C87" w:rsidRDefault="002C0C87">
    <w:pPr>
      <w:pBdr>
        <w:top w:val="nil"/>
        <w:left w:val="nil"/>
        <w:bottom w:val="nil"/>
        <w:right w:val="nil"/>
        <w:between w:val="nil"/>
      </w:pBdr>
      <w:tabs>
        <w:tab w:val="center" w:pos="4252"/>
        <w:tab w:val="right" w:pos="8504"/>
      </w:tabs>
      <w:rPr>
        <w:rFonts w:ascii="Times New Roman" w:hAnsi="Times New Roman"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80A" w:rsidRDefault="001D180A">
      <w:r>
        <w:separator/>
      </w:r>
    </w:p>
  </w:footnote>
  <w:footnote w:type="continuationSeparator" w:id="0">
    <w:p w:rsidR="001D180A" w:rsidRDefault="001D1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C87" w:rsidRDefault="006D2EFC">
    <w:pPr>
      <w:pBdr>
        <w:top w:val="nil"/>
        <w:left w:val="nil"/>
        <w:bottom w:val="nil"/>
        <w:right w:val="nil"/>
        <w:between w:val="nil"/>
      </w:pBdr>
      <w:tabs>
        <w:tab w:val="center" w:pos="4252"/>
        <w:tab w:val="right" w:pos="8504"/>
        <w:tab w:val="center" w:pos="4252"/>
        <w:tab w:val="left" w:pos="4735"/>
        <w:tab w:val="right" w:pos="8504"/>
      </w:tabs>
      <w:rPr>
        <w:rFonts w:eastAsia="Arial" w:cs="Arial"/>
        <w:szCs w:val="20"/>
      </w:rPr>
    </w:pPr>
    <w:r>
      <w:rPr>
        <w:rFonts w:eastAsia="Arial" w:cs="Arial"/>
        <w:noProof/>
        <w:szCs w:val="20"/>
      </w:rPr>
      <w:drawing>
        <wp:inline distT="0" distB="0" distL="0" distR="0">
          <wp:extent cx="5939155" cy="9906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2" t="-72" r="-12" b="-72"/>
                  <a:stretch>
                    <a:fillRect/>
                  </a:stretch>
                </pic:blipFill>
                <pic:spPr>
                  <a:xfrm>
                    <a:off x="0" y="0"/>
                    <a:ext cx="5939155" cy="990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53E4B"/>
    <w:multiLevelType w:val="hybridMultilevel"/>
    <w:tmpl w:val="6688EEC6"/>
    <w:lvl w:ilvl="0" w:tplc="4F943DD4">
      <w:start w:val="1"/>
      <w:numFmt w:val="lowerLetter"/>
      <w:lvlText w:val="%1)"/>
      <w:lvlJc w:val="left"/>
      <w:pPr>
        <w:ind w:left="4023" w:hanging="360"/>
      </w:pPr>
      <w:rPr>
        <w:rFonts w:ascii="Arial" w:hAnsi="Arial" w:cs="Tahoma" w:hint="default"/>
        <w:sz w:val="20"/>
      </w:rPr>
    </w:lvl>
    <w:lvl w:ilvl="1" w:tplc="04160019" w:tentative="1">
      <w:start w:val="1"/>
      <w:numFmt w:val="lowerLetter"/>
      <w:lvlText w:val="%2."/>
      <w:lvlJc w:val="left"/>
      <w:pPr>
        <w:ind w:left="4743" w:hanging="360"/>
      </w:pPr>
    </w:lvl>
    <w:lvl w:ilvl="2" w:tplc="0416001B" w:tentative="1">
      <w:start w:val="1"/>
      <w:numFmt w:val="lowerRoman"/>
      <w:lvlText w:val="%3."/>
      <w:lvlJc w:val="right"/>
      <w:pPr>
        <w:ind w:left="5463" w:hanging="180"/>
      </w:pPr>
    </w:lvl>
    <w:lvl w:ilvl="3" w:tplc="0416000F" w:tentative="1">
      <w:start w:val="1"/>
      <w:numFmt w:val="decimal"/>
      <w:lvlText w:val="%4."/>
      <w:lvlJc w:val="left"/>
      <w:pPr>
        <w:ind w:left="6183" w:hanging="360"/>
      </w:pPr>
    </w:lvl>
    <w:lvl w:ilvl="4" w:tplc="04160019" w:tentative="1">
      <w:start w:val="1"/>
      <w:numFmt w:val="lowerLetter"/>
      <w:lvlText w:val="%5."/>
      <w:lvlJc w:val="left"/>
      <w:pPr>
        <w:ind w:left="6903" w:hanging="360"/>
      </w:pPr>
    </w:lvl>
    <w:lvl w:ilvl="5" w:tplc="0416001B" w:tentative="1">
      <w:start w:val="1"/>
      <w:numFmt w:val="lowerRoman"/>
      <w:lvlText w:val="%6."/>
      <w:lvlJc w:val="right"/>
      <w:pPr>
        <w:ind w:left="7623" w:hanging="180"/>
      </w:pPr>
    </w:lvl>
    <w:lvl w:ilvl="6" w:tplc="0416000F" w:tentative="1">
      <w:start w:val="1"/>
      <w:numFmt w:val="decimal"/>
      <w:lvlText w:val="%7."/>
      <w:lvlJc w:val="left"/>
      <w:pPr>
        <w:ind w:left="8343" w:hanging="360"/>
      </w:pPr>
    </w:lvl>
    <w:lvl w:ilvl="7" w:tplc="04160019" w:tentative="1">
      <w:start w:val="1"/>
      <w:numFmt w:val="lowerLetter"/>
      <w:lvlText w:val="%8."/>
      <w:lvlJc w:val="left"/>
      <w:pPr>
        <w:ind w:left="9063" w:hanging="360"/>
      </w:pPr>
    </w:lvl>
    <w:lvl w:ilvl="8" w:tplc="0416001B" w:tentative="1">
      <w:start w:val="1"/>
      <w:numFmt w:val="lowerRoman"/>
      <w:lvlText w:val="%9."/>
      <w:lvlJc w:val="right"/>
      <w:pPr>
        <w:ind w:left="9783" w:hanging="180"/>
      </w:pPr>
    </w:lvl>
  </w:abstractNum>
  <w:abstractNum w:abstractNumId="1">
    <w:nsid w:val="30E1663E"/>
    <w:multiLevelType w:val="multilevel"/>
    <w:tmpl w:val="4D8C4AA0"/>
    <w:lvl w:ilvl="0">
      <w:start w:val="9"/>
      <w:numFmt w:val="decimal"/>
      <w:lvlText w:val="%1"/>
      <w:lvlJc w:val="left"/>
      <w:pPr>
        <w:ind w:left="735" w:hanging="360"/>
      </w:pPr>
    </w:lvl>
    <w:lvl w:ilvl="1">
      <w:start w:val="1"/>
      <w:numFmt w:val="decimal"/>
      <w:lvlText w:val="%1.%2."/>
      <w:lvlJc w:val="left"/>
      <w:pPr>
        <w:ind w:left="1287" w:hanging="360"/>
      </w:pPr>
      <w:rPr>
        <w:rFonts w:ascii="Times New Roman" w:eastAsia="Times New Roman" w:hAnsi="Times New Roman" w:cs="Times New Roman"/>
        <w:b/>
        <w:sz w:val="22"/>
        <w:szCs w:val="22"/>
      </w:rPr>
    </w:lvl>
    <w:lvl w:ilvl="2">
      <w:start w:val="1"/>
      <w:numFmt w:val="decimal"/>
      <w:lvlText w:val="%1.%2.%3."/>
      <w:lvlJc w:val="left"/>
      <w:pPr>
        <w:ind w:left="2199" w:hanging="720"/>
      </w:pPr>
      <w:rPr>
        <w:rFonts w:ascii="Times New Roman" w:eastAsia="Times New Roman" w:hAnsi="Times New Roman" w:cs="Times New Roman"/>
        <w:b/>
        <w:sz w:val="22"/>
        <w:szCs w:val="22"/>
      </w:rPr>
    </w:lvl>
    <w:lvl w:ilvl="3">
      <w:start w:val="1"/>
      <w:numFmt w:val="decimal"/>
      <w:lvlText w:val="%1.%2.%3.%4."/>
      <w:lvlJc w:val="left"/>
      <w:pPr>
        <w:ind w:left="2751" w:hanging="719"/>
      </w:pPr>
    </w:lvl>
    <w:lvl w:ilvl="4">
      <w:start w:val="1"/>
      <w:numFmt w:val="decimal"/>
      <w:lvlText w:val="%1.%2.%3.%4.%5."/>
      <w:lvlJc w:val="left"/>
      <w:pPr>
        <w:ind w:left="3663" w:hanging="1080"/>
      </w:pPr>
    </w:lvl>
    <w:lvl w:ilvl="5">
      <w:start w:val="1"/>
      <w:numFmt w:val="decimal"/>
      <w:lvlText w:val="%1.%2.%3.%4.%5.%6."/>
      <w:lvlJc w:val="left"/>
      <w:pPr>
        <w:ind w:left="4215" w:hanging="1080"/>
      </w:pPr>
    </w:lvl>
    <w:lvl w:ilvl="6">
      <w:start w:val="1"/>
      <w:numFmt w:val="decimal"/>
      <w:lvlText w:val="%1.%2.%3.%4.%5.%6.%7."/>
      <w:lvlJc w:val="left"/>
      <w:pPr>
        <w:ind w:left="5127" w:hanging="1439"/>
      </w:pPr>
    </w:lvl>
    <w:lvl w:ilvl="7">
      <w:start w:val="1"/>
      <w:numFmt w:val="decimal"/>
      <w:lvlText w:val="%1.%2.%3.%4.%5.%6.%7.%8."/>
      <w:lvlJc w:val="left"/>
      <w:pPr>
        <w:ind w:left="5679" w:hanging="1440"/>
      </w:pPr>
    </w:lvl>
    <w:lvl w:ilvl="8">
      <w:start w:val="1"/>
      <w:numFmt w:val="decimal"/>
      <w:lvlText w:val="%1.%2.%3.%4.%5.%6.%7.%8.%9."/>
      <w:lvlJc w:val="left"/>
      <w:pPr>
        <w:ind w:left="6591" w:hanging="1800"/>
      </w:pPr>
    </w:lvl>
  </w:abstractNum>
  <w:abstractNum w:abstractNumId="2">
    <w:nsid w:val="348C2AB6"/>
    <w:multiLevelType w:val="multilevel"/>
    <w:tmpl w:val="7C0EBE86"/>
    <w:lvl w:ilvl="0">
      <w:start w:val="1"/>
      <w:numFmt w:val="decimal"/>
      <w:lvlText w:val="%1."/>
      <w:lvlJc w:val="left"/>
      <w:pPr>
        <w:ind w:left="360" w:hanging="360"/>
      </w:pPr>
      <w:rPr>
        <w:rFonts w:ascii="Times New Roman" w:eastAsia="Times New Roman" w:hAnsi="Times New Roman" w:cs="Times New Roman"/>
        <w:b/>
        <w:sz w:val="22"/>
        <w:szCs w:val="22"/>
      </w:rPr>
    </w:lvl>
    <w:lvl w:ilvl="1">
      <w:start w:val="1"/>
      <w:numFmt w:val="decimal"/>
      <w:lvlText w:val="%1.%2."/>
      <w:lvlJc w:val="left"/>
      <w:pPr>
        <w:ind w:left="432" w:hanging="432"/>
      </w:pPr>
      <w:rPr>
        <w:rFonts w:ascii="Times New Roman" w:eastAsia="Times New Roman" w:hAnsi="Times New Roman" w:cs="Times New Roman"/>
        <w:b/>
        <w:sz w:val="22"/>
        <w:szCs w:val="22"/>
      </w:rPr>
    </w:lvl>
    <w:lvl w:ilvl="2">
      <w:start w:val="1"/>
      <w:numFmt w:val="decimal"/>
      <w:lvlText w:val="%1.%2.%3"/>
      <w:lvlJc w:val="left"/>
      <w:pPr>
        <w:ind w:left="1922" w:hanging="504"/>
      </w:pPr>
      <w:rPr>
        <w:rFonts w:ascii="Times New Roman" w:eastAsia="Times New Roman" w:hAnsi="Times New Roman" w:cs="Times New Roman"/>
        <w:b/>
        <w:color w:val="00000A"/>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704908"/>
    <w:multiLevelType w:val="multilevel"/>
    <w:tmpl w:val="0D0617F0"/>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Times New Roman" w:eastAsia="Times New Roman" w:hAnsi="Times New Roman" w:cs="Times New Roman"/>
        <w:b/>
        <w:sz w:val="22"/>
        <w:szCs w:val="22"/>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4">
    <w:nsid w:val="4FBC1CD8"/>
    <w:multiLevelType w:val="multilevel"/>
    <w:tmpl w:val="7D7EC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EAC5C01"/>
    <w:multiLevelType w:val="multilevel"/>
    <w:tmpl w:val="C8DAF80A"/>
    <w:lvl w:ilvl="0">
      <w:start w:val="4"/>
      <w:numFmt w:val="decimal"/>
      <w:lvlText w:val="%1"/>
      <w:lvlJc w:val="left"/>
      <w:pPr>
        <w:ind w:left="435" w:hanging="435"/>
      </w:pPr>
      <w:rPr>
        <w:color w:val="000000"/>
        <w:sz w:val="20"/>
        <w:szCs w:val="20"/>
      </w:rPr>
    </w:lvl>
    <w:lvl w:ilvl="1">
      <w:start w:val="3"/>
      <w:numFmt w:val="decimal"/>
      <w:lvlText w:val="%1.%2"/>
      <w:lvlJc w:val="left"/>
      <w:pPr>
        <w:ind w:left="1145" w:hanging="435"/>
      </w:pPr>
      <w:rPr>
        <w:color w:val="000000"/>
        <w:sz w:val="20"/>
        <w:szCs w:val="20"/>
      </w:rPr>
    </w:lvl>
    <w:lvl w:ilvl="2">
      <w:start w:val="1"/>
      <w:numFmt w:val="decimal"/>
      <w:lvlText w:val="%1.%2.%3"/>
      <w:lvlJc w:val="left"/>
      <w:pPr>
        <w:ind w:left="2140" w:hanging="720"/>
      </w:pPr>
      <w:rPr>
        <w:rFonts w:ascii="Times New Roman" w:eastAsia="Times New Roman" w:hAnsi="Times New Roman" w:cs="Times New Roman"/>
        <w:b/>
        <w:color w:val="000000"/>
        <w:sz w:val="22"/>
        <w:szCs w:val="22"/>
      </w:rPr>
    </w:lvl>
    <w:lvl w:ilvl="3">
      <w:start w:val="1"/>
      <w:numFmt w:val="decimal"/>
      <w:lvlText w:val="%1.%2.%3.%4"/>
      <w:lvlJc w:val="left"/>
      <w:pPr>
        <w:ind w:left="2850" w:hanging="720"/>
      </w:pPr>
      <w:rPr>
        <w:color w:val="000000"/>
        <w:sz w:val="20"/>
        <w:szCs w:val="20"/>
      </w:rPr>
    </w:lvl>
    <w:lvl w:ilvl="4">
      <w:start w:val="1"/>
      <w:numFmt w:val="decimal"/>
      <w:lvlText w:val="%1.%2.%3.%4.%5"/>
      <w:lvlJc w:val="left"/>
      <w:pPr>
        <w:ind w:left="3560" w:hanging="720"/>
      </w:pPr>
      <w:rPr>
        <w:color w:val="000000"/>
        <w:sz w:val="20"/>
        <w:szCs w:val="20"/>
      </w:rPr>
    </w:lvl>
    <w:lvl w:ilvl="5">
      <w:start w:val="1"/>
      <w:numFmt w:val="decimal"/>
      <w:lvlText w:val="%1.%2.%3.%4.%5.%6"/>
      <w:lvlJc w:val="left"/>
      <w:pPr>
        <w:ind w:left="4630" w:hanging="1080"/>
      </w:pPr>
      <w:rPr>
        <w:color w:val="000000"/>
        <w:sz w:val="20"/>
        <w:szCs w:val="20"/>
      </w:rPr>
    </w:lvl>
    <w:lvl w:ilvl="6">
      <w:start w:val="1"/>
      <w:numFmt w:val="decimal"/>
      <w:lvlText w:val="%1.%2.%3.%4.%5.%6.%7"/>
      <w:lvlJc w:val="left"/>
      <w:pPr>
        <w:ind w:left="5340" w:hanging="1080"/>
      </w:pPr>
      <w:rPr>
        <w:color w:val="000000"/>
        <w:sz w:val="20"/>
        <w:szCs w:val="20"/>
      </w:rPr>
    </w:lvl>
    <w:lvl w:ilvl="7">
      <w:start w:val="1"/>
      <w:numFmt w:val="decimal"/>
      <w:lvlText w:val="%1.%2.%3.%4.%5.%6.%7.%8"/>
      <w:lvlJc w:val="left"/>
      <w:pPr>
        <w:ind w:left="6410" w:hanging="1440"/>
      </w:pPr>
      <w:rPr>
        <w:color w:val="000000"/>
        <w:sz w:val="20"/>
        <w:szCs w:val="20"/>
      </w:rPr>
    </w:lvl>
    <w:lvl w:ilvl="8">
      <w:start w:val="1"/>
      <w:numFmt w:val="decimal"/>
      <w:lvlText w:val="%1.%2.%3.%4.%5.%6.%7.%8.%9"/>
      <w:lvlJc w:val="left"/>
      <w:pPr>
        <w:ind w:left="7120" w:hanging="1440"/>
      </w:pPr>
      <w:rPr>
        <w:color w:val="000000"/>
        <w:sz w:val="20"/>
        <w:szCs w:val="20"/>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0C87"/>
    <w:rsid w:val="001D180A"/>
    <w:rsid w:val="001D5AEB"/>
    <w:rsid w:val="002C0C87"/>
    <w:rsid w:val="00360B31"/>
    <w:rsid w:val="004270B8"/>
    <w:rsid w:val="005E2021"/>
    <w:rsid w:val="005E7F6A"/>
    <w:rsid w:val="00634940"/>
    <w:rsid w:val="0064219A"/>
    <w:rsid w:val="006D2EFC"/>
    <w:rsid w:val="007305C7"/>
    <w:rsid w:val="008813A8"/>
    <w:rsid w:val="00A63B87"/>
    <w:rsid w:val="00B720B1"/>
    <w:rsid w:val="00B82691"/>
    <w:rsid w:val="00E30FAF"/>
    <w:rsid w:val="00FA1058"/>
    <w:rsid w:val="00FA64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eastAsia="Times New Roman"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uiPriority w:val="99"/>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qFormat/>
    <w:rsid w:val="001F28BE"/>
    <w:rPr>
      <w:b/>
    </w:rPr>
  </w:style>
  <w:style w:type="character" w:customStyle="1" w:styleId="GradeColorida-nfase1Char">
    <w:name w:val="Grade Colorida - Ênfase 1 Char"/>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Nivel4Char">
    <w:name w:val="Nivel 4 Char"/>
    <w:basedOn w:val="Fontepargpadro"/>
    <w:link w:val="Nivel4"/>
    <w:qFormat/>
    <w:rsid w:val="00532993"/>
    <w:rPr>
      <w:rFonts w:ascii="Ecofont_Spranq_eco_Sans" w:eastAsia="Arial Unicode MS" w:hAnsi="Ecofont_Spranq_eco_Sans" w:cs="Arial"/>
    </w:rPr>
  </w:style>
  <w:style w:type="character" w:styleId="HiperlinkVisitado">
    <w:name w:val="FollowedHyperlink"/>
    <w:basedOn w:val="Fontepargpadro"/>
    <w:semiHidden/>
    <w:unhideWhenUsed/>
    <w:qFormat/>
    <w:rsid w:val="00175687"/>
    <w:rPr>
      <w:color w:val="800080" w:themeColor="followedHyperlink"/>
      <w:u w:val="single"/>
    </w:rPr>
  </w:style>
  <w:style w:type="character" w:customStyle="1" w:styleId="MenoPendente1">
    <w:name w:val="Menção Pendente1"/>
    <w:basedOn w:val="Fontepargpadro"/>
    <w:uiPriority w:val="99"/>
    <w:semiHidden/>
    <w:unhideWhenUsed/>
    <w:qFormat/>
    <w:rsid w:val="0006398B"/>
    <w:rPr>
      <w:color w:val="605E5C"/>
      <w:shd w:val="clear" w:color="auto" w:fill="E1DFDD"/>
    </w:rPr>
  </w:style>
  <w:style w:type="character" w:customStyle="1" w:styleId="MenoPendente2">
    <w:name w:val="Menção Pendente2"/>
    <w:basedOn w:val="Fontepargpadro"/>
    <w:uiPriority w:val="99"/>
    <w:semiHidden/>
    <w:unhideWhenUsed/>
    <w:qFormat/>
    <w:rsid w:val="0006398B"/>
    <w:rPr>
      <w:color w:val="605E5C"/>
      <w:shd w:val="clear" w:color="auto" w:fill="E1DFDD"/>
    </w:rPr>
  </w:style>
  <w:style w:type="character" w:customStyle="1" w:styleId="ListLabel13">
    <w:name w:val="ListLabel 13"/>
    <w:qFormat/>
    <w:rPr>
      <w:rFonts w:cs="Arial"/>
      <w:b/>
    </w:rPr>
  </w:style>
  <w:style w:type="character" w:customStyle="1" w:styleId="ListLabel14">
    <w:name w:val="ListLabel 14"/>
    <w:qFormat/>
    <w:rPr>
      <w:rFonts w:ascii="Arial" w:hAnsi="Arial"/>
      <w:b w:val="0"/>
    </w:rPr>
  </w:style>
  <w:style w:type="character" w:customStyle="1" w:styleId="ListLabel15">
    <w:name w:val="ListLabel 15"/>
    <w:qFormat/>
    <w:rPr>
      <w:rFonts w:ascii="Arial" w:eastAsia="Times New Roman" w:hAnsi="Arial" w:cs="Arial"/>
      <w:b/>
      <w:color w:val="00000A"/>
    </w:rPr>
  </w:style>
  <w:style w:type="character" w:customStyle="1" w:styleId="ListLabel16">
    <w:name w:val="ListLabel 16"/>
    <w:qFormat/>
    <w:rPr>
      <w:rFonts w:ascii="Arial" w:hAnsi="Arial" w:cs="Arial"/>
    </w:rPr>
  </w:style>
  <w:style w:type="character" w:customStyle="1" w:styleId="ListLabel17">
    <w:name w:val="ListLabel 17"/>
    <w:qFormat/>
    <w:rPr>
      <w:color w:val="000000"/>
      <w:sz w:val="20"/>
    </w:rPr>
  </w:style>
  <w:style w:type="character" w:customStyle="1" w:styleId="ListLabel18">
    <w:name w:val="ListLabel 18"/>
    <w:qFormat/>
    <w:rPr>
      <w:color w:val="000000"/>
      <w:sz w:val="20"/>
    </w:rPr>
  </w:style>
  <w:style w:type="character" w:customStyle="1" w:styleId="ListLabel19">
    <w:name w:val="ListLabel 19"/>
    <w:qFormat/>
    <w:rPr>
      <w:color w:val="000000"/>
      <w:sz w:val="18"/>
    </w:rPr>
  </w:style>
  <w:style w:type="character" w:customStyle="1" w:styleId="ListLabel20">
    <w:name w:val="ListLabel 20"/>
    <w:qFormat/>
    <w:rPr>
      <w:color w:val="000000"/>
      <w:sz w:val="20"/>
    </w:rPr>
  </w:style>
  <w:style w:type="character" w:customStyle="1" w:styleId="ListLabel21">
    <w:name w:val="ListLabel 21"/>
    <w:qFormat/>
    <w:rPr>
      <w:color w:val="000000"/>
      <w:sz w:val="20"/>
    </w:rPr>
  </w:style>
  <w:style w:type="character" w:customStyle="1" w:styleId="ListLabel22">
    <w:name w:val="ListLabel 22"/>
    <w:qFormat/>
    <w:rPr>
      <w:color w:val="000000"/>
      <w:sz w:val="20"/>
    </w:rPr>
  </w:style>
  <w:style w:type="character" w:customStyle="1" w:styleId="ListLabel23">
    <w:name w:val="ListLabel 23"/>
    <w:qFormat/>
    <w:rPr>
      <w:color w:val="000000"/>
      <w:sz w:val="20"/>
    </w:rPr>
  </w:style>
  <w:style w:type="character" w:customStyle="1" w:styleId="ListLabel24">
    <w:name w:val="ListLabel 24"/>
    <w:qFormat/>
    <w:rPr>
      <w:color w:val="000000"/>
      <w:sz w:val="20"/>
    </w:rPr>
  </w:style>
  <w:style w:type="character" w:customStyle="1" w:styleId="ListLabel25">
    <w:name w:val="ListLabel 25"/>
    <w:qFormat/>
    <w:rPr>
      <w:color w:val="000000"/>
      <w:sz w:val="20"/>
    </w:rPr>
  </w:style>
  <w:style w:type="character" w:customStyle="1" w:styleId="ListLabel26">
    <w:name w:val="ListLabel 26"/>
    <w:qFormat/>
    <w:rPr>
      <w:rFonts w:cs="Arial"/>
      <w:b/>
    </w:rPr>
  </w:style>
  <w:style w:type="character" w:customStyle="1" w:styleId="ListLabel27">
    <w:name w:val="ListLabel 27"/>
    <w:qFormat/>
    <w:rPr>
      <w:b w:val="0"/>
    </w:rPr>
  </w:style>
  <w:style w:type="character" w:customStyle="1" w:styleId="ListLabel28">
    <w:name w:val="ListLabel 28"/>
    <w:qFormat/>
    <w:rPr>
      <w:rFonts w:eastAsia="Times New Roman" w:cs="Arial"/>
      <w:b w:val="0"/>
      <w:color w:val="00000A"/>
    </w:rPr>
  </w:style>
  <w:style w:type="character" w:customStyle="1" w:styleId="ListLabel29">
    <w:name w:val="ListLabel 29"/>
    <w:qFormat/>
    <w:rPr>
      <w:b/>
    </w:rPr>
  </w:style>
  <w:style w:type="character" w:customStyle="1" w:styleId="ListLabel30">
    <w:name w:val="ListLabel 30"/>
    <w:qFormat/>
    <w:rPr>
      <w:b/>
      <w:i w:val="0"/>
      <w:strike w:val="0"/>
      <w:dstrike w:val="0"/>
    </w:rPr>
  </w:style>
  <w:style w:type="character" w:customStyle="1" w:styleId="ListLabel31">
    <w:name w:val="ListLabel 31"/>
    <w:qFormat/>
    <w:rPr>
      <w:b w:val="0"/>
      <w:strike w:val="0"/>
      <w:dstrike w:val="0"/>
    </w:rPr>
  </w:style>
  <w:style w:type="character" w:customStyle="1" w:styleId="ListLabel32">
    <w:name w:val="ListLabel 32"/>
    <w:qFormat/>
    <w:rPr>
      <w:i w:val="0"/>
      <w:strike w:val="0"/>
      <w:dstrike w:val="0"/>
    </w:rPr>
  </w:style>
  <w:style w:type="character" w:customStyle="1" w:styleId="ListLabel33">
    <w:name w:val="ListLabel 33"/>
    <w:qFormat/>
    <w:rPr>
      <w:rFonts w:ascii="Arial" w:hAnsi="Arial"/>
      <w:b/>
    </w:rPr>
  </w:style>
  <w:style w:type="character" w:customStyle="1" w:styleId="ListLabel34">
    <w:name w:val="ListLabel 34"/>
    <w:qFormat/>
    <w:rPr>
      <w:rFonts w:ascii="Arial" w:hAnsi="Arial"/>
      <w:b/>
    </w:rPr>
  </w:style>
  <w:style w:type="character" w:customStyle="1" w:styleId="ListLabel35">
    <w:name w:val="ListLabel 35"/>
    <w:qFormat/>
    <w:rPr>
      <w:rFonts w:cs="Arial"/>
      <w:b/>
    </w:rPr>
  </w:style>
  <w:style w:type="character" w:customStyle="1" w:styleId="ListLabel36">
    <w:name w:val="ListLabel 36"/>
    <w:qFormat/>
    <w:rPr>
      <w:b w:val="0"/>
    </w:rPr>
  </w:style>
  <w:style w:type="character" w:customStyle="1" w:styleId="ListLabel37">
    <w:name w:val="ListLabel 37"/>
    <w:qFormat/>
    <w:rPr>
      <w:rFonts w:eastAsia="Times New Roman" w:cs="Arial"/>
      <w:b w:val="0"/>
      <w:color w:val="00000A"/>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ListLabel41">
    <w:name w:val="ListLabel 41"/>
    <w:qFormat/>
    <w:rPr>
      <w:rFonts w:cs="Arial"/>
      <w:b/>
    </w:rPr>
  </w:style>
  <w:style w:type="character" w:customStyle="1" w:styleId="ListLabel42">
    <w:name w:val="ListLabel 42"/>
    <w:qFormat/>
    <w:rPr>
      <w:b w:val="0"/>
    </w:rPr>
  </w:style>
  <w:style w:type="character" w:customStyle="1" w:styleId="ListLabel43">
    <w:name w:val="ListLabel 43"/>
    <w:qFormat/>
    <w:rPr>
      <w:rFonts w:eastAsia="Times New Roman" w:cs="Arial"/>
      <w:b w:val="0"/>
      <w:color w:val="00000A"/>
    </w:rPr>
  </w:style>
  <w:style w:type="character" w:customStyle="1" w:styleId="ListLabel44">
    <w:name w:val="ListLabel 44"/>
    <w:qFormat/>
    <w:rPr>
      <w:rFonts w:cs="Arial"/>
      <w:b/>
    </w:rPr>
  </w:style>
  <w:style w:type="character" w:customStyle="1" w:styleId="ListLabel45">
    <w:name w:val="ListLabel 45"/>
    <w:qFormat/>
    <w:rPr>
      <w:rFonts w:ascii="Arial" w:hAnsi="Arial"/>
      <w:b w:val="0"/>
    </w:rPr>
  </w:style>
  <w:style w:type="character" w:customStyle="1" w:styleId="ListLabel46">
    <w:name w:val="ListLabel 46"/>
    <w:qFormat/>
    <w:rPr>
      <w:rFonts w:ascii="Arial" w:eastAsia="Times New Roman" w:hAnsi="Arial" w:cs="Arial"/>
      <w:b/>
      <w:color w:val="00000A"/>
    </w:rPr>
  </w:style>
  <w:style w:type="character" w:customStyle="1" w:styleId="ListLabel47">
    <w:name w:val="ListLabel 47"/>
    <w:qFormat/>
    <w:rPr>
      <w:rFonts w:ascii="Arial" w:hAnsi="Arial" w:cs="Arial"/>
    </w:rPr>
  </w:style>
  <w:style w:type="character" w:customStyle="1" w:styleId="ListLabel48">
    <w:name w:val="ListLabel 48"/>
    <w:qFormat/>
    <w:rPr>
      <w:color w:val="000000"/>
      <w:sz w:val="20"/>
    </w:rPr>
  </w:style>
  <w:style w:type="character" w:customStyle="1" w:styleId="ListLabel49">
    <w:name w:val="ListLabel 49"/>
    <w:qFormat/>
    <w:rPr>
      <w:color w:val="000000"/>
      <w:sz w:val="20"/>
    </w:rPr>
  </w:style>
  <w:style w:type="character" w:customStyle="1" w:styleId="ListLabel50">
    <w:name w:val="ListLabel 50"/>
    <w:qFormat/>
    <w:rPr>
      <w:color w:val="000000"/>
      <w:sz w:val="18"/>
    </w:rPr>
  </w:style>
  <w:style w:type="character" w:customStyle="1" w:styleId="ListLabel51">
    <w:name w:val="ListLabel 51"/>
    <w:qFormat/>
    <w:rPr>
      <w:color w:val="000000"/>
      <w:sz w:val="20"/>
    </w:rPr>
  </w:style>
  <w:style w:type="character" w:customStyle="1" w:styleId="ListLabel52">
    <w:name w:val="ListLabel 52"/>
    <w:qFormat/>
    <w:rPr>
      <w:color w:val="000000"/>
      <w:sz w:val="20"/>
    </w:rPr>
  </w:style>
  <w:style w:type="character" w:customStyle="1" w:styleId="ListLabel53">
    <w:name w:val="ListLabel 53"/>
    <w:qFormat/>
    <w:rPr>
      <w:color w:val="000000"/>
      <w:sz w:val="20"/>
    </w:rPr>
  </w:style>
  <w:style w:type="character" w:customStyle="1" w:styleId="ListLabel54">
    <w:name w:val="ListLabel 54"/>
    <w:qFormat/>
    <w:rPr>
      <w:color w:val="000000"/>
      <w:sz w:val="20"/>
    </w:rPr>
  </w:style>
  <w:style w:type="character" w:customStyle="1" w:styleId="ListLabel55">
    <w:name w:val="ListLabel 55"/>
    <w:qFormat/>
    <w:rPr>
      <w:color w:val="000000"/>
      <w:sz w:val="20"/>
    </w:rPr>
  </w:style>
  <w:style w:type="character" w:customStyle="1" w:styleId="ListLabel56">
    <w:name w:val="ListLabel 56"/>
    <w:qFormat/>
    <w:rPr>
      <w:color w:val="000000"/>
      <w:sz w:val="20"/>
    </w:rPr>
  </w:style>
  <w:style w:type="character" w:customStyle="1" w:styleId="ListLabel57">
    <w:name w:val="ListLabel 57"/>
    <w:qFormat/>
    <w:rPr>
      <w:rFonts w:cs="Arial"/>
      <w:b/>
    </w:rPr>
  </w:style>
  <w:style w:type="character" w:customStyle="1" w:styleId="ListLabel58">
    <w:name w:val="ListLabel 58"/>
    <w:qFormat/>
    <w:rPr>
      <w:b w:val="0"/>
    </w:rPr>
  </w:style>
  <w:style w:type="character" w:customStyle="1" w:styleId="ListLabel59">
    <w:name w:val="ListLabel 59"/>
    <w:qFormat/>
    <w:rPr>
      <w:rFonts w:eastAsia="Times New Roman" w:cs="Arial"/>
      <w:b w:val="0"/>
      <w:color w:val="00000A"/>
    </w:rPr>
  </w:style>
  <w:style w:type="character" w:customStyle="1" w:styleId="ListLabel60">
    <w:name w:val="ListLabel 60"/>
    <w:qFormat/>
    <w:rPr>
      <w:b/>
    </w:rPr>
  </w:style>
  <w:style w:type="character" w:customStyle="1" w:styleId="ListLabel61">
    <w:name w:val="ListLabel 61"/>
    <w:qFormat/>
    <w:rPr>
      <w:rFonts w:ascii="Arial" w:hAnsi="Arial"/>
      <w:b w:val="0"/>
    </w:rPr>
  </w:style>
  <w:style w:type="character" w:customStyle="1" w:styleId="ListLabel62">
    <w:name w:val="ListLabel 62"/>
    <w:qFormat/>
    <w:rPr>
      <w:rFonts w:ascii="Arial" w:hAnsi="Arial"/>
      <w:b w:val="0"/>
    </w:rPr>
  </w:style>
  <w:style w:type="character" w:customStyle="1" w:styleId="ListLabel63">
    <w:name w:val="ListLabel 63"/>
    <w:qFormat/>
    <w:rPr>
      <w:rFonts w:cs="Arial"/>
      <w:b/>
    </w:rPr>
  </w:style>
  <w:style w:type="character" w:customStyle="1" w:styleId="ListLabel64">
    <w:name w:val="ListLabel 64"/>
    <w:qFormat/>
    <w:rPr>
      <w:b w:val="0"/>
    </w:rPr>
  </w:style>
  <w:style w:type="character" w:customStyle="1" w:styleId="ListLabel65">
    <w:name w:val="ListLabel 65"/>
    <w:qFormat/>
    <w:rPr>
      <w:rFonts w:eastAsia="Times New Roman" w:cs="Arial"/>
      <w:b w:val="0"/>
      <w:color w:val="00000A"/>
    </w:rPr>
  </w:style>
  <w:style w:type="character" w:customStyle="1" w:styleId="ListLabel66">
    <w:name w:val="ListLabel 66"/>
    <w:qFormat/>
    <w:rPr>
      <w:rFonts w:cs="Arial"/>
      <w:b/>
    </w:rPr>
  </w:style>
  <w:style w:type="character" w:customStyle="1" w:styleId="ListLabel67">
    <w:name w:val="ListLabel 67"/>
    <w:qFormat/>
    <w:rPr>
      <w:b w:val="0"/>
    </w:rPr>
  </w:style>
  <w:style w:type="character" w:customStyle="1" w:styleId="ListLabel68">
    <w:name w:val="ListLabel 68"/>
    <w:qFormat/>
    <w:rPr>
      <w:rFonts w:eastAsia="Times New Roman" w:cs="Arial"/>
      <w:b w:val="0"/>
      <w:bCs w:val="0"/>
      <w:color w:val="00000A"/>
    </w:rPr>
  </w:style>
  <w:style w:type="character" w:customStyle="1" w:styleId="ListLabel69">
    <w:name w:val="ListLabel 69"/>
    <w:qFormat/>
    <w:rPr>
      <w:rFonts w:cs="Arial"/>
    </w:rPr>
  </w:style>
  <w:style w:type="character" w:customStyle="1" w:styleId="ListLabel70">
    <w:name w:val="ListLabel 70"/>
    <w:qFormat/>
    <w:rPr>
      <w:color w:val="000000"/>
      <w:sz w:val="20"/>
    </w:rPr>
  </w:style>
  <w:style w:type="character" w:customStyle="1" w:styleId="ListLabel71">
    <w:name w:val="ListLabel 71"/>
    <w:qFormat/>
    <w:rPr>
      <w:color w:val="000000"/>
      <w:sz w:val="20"/>
    </w:rPr>
  </w:style>
  <w:style w:type="character" w:customStyle="1" w:styleId="ListLabel72">
    <w:name w:val="ListLabel 72"/>
    <w:qFormat/>
    <w:rPr>
      <w:color w:val="000000"/>
      <w:sz w:val="20"/>
      <w:szCs w:val="20"/>
    </w:rPr>
  </w:style>
  <w:style w:type="character" w:customStyle="1" w:styleId="ListLabel73">
    <w:name w:val="ListLabel 73"/>
    <w:qFormat/>
    <w:rPr>
      <w:color w:val="000000"/>
      <w:sz w:val="20"/>
    </w:rPr>
  </w:style>
  <w:style w:type="character" w:customStyle="1" w:styleId="ListLabel74">
    <w:name w:val="ListLabel 74"/>
    <w:qFormat/>
    <w:rPr>
      <w:color w:val="000000"/>
      <w:sz w:val="20"/>
    </w:rPr>
  </w:style>
  <w:style w:type="character" w:customStyle="1" w:styleId="ListLabel75">
    <w:name w:val="ListLabel 75"/>
    <w:qFormat/>
    <w:rPr>
      <w:color w:val="000000"/>
      <w:sz w:val="20"/>
    </w:rPr>
  </w:style>
  <w:style w:type="character" w:customStyle="1" w:styleId="ListLabel76">
    <w:name w:val="ListLabel 76"/>
    <w:qFormat/>
    <w:rPr>
      <w:color w:val="000000"/>
      <w:sz w:val="20"/>
    </w:rPr>
  </w:style>
  <w:style w:type="character" w:customStyle="1" w:styleId="ListLabel77">
    <w:name w:val="ListLabel 77"/>
    <w:qFormat/>
    <w:rPr>
      <w:color w:val="000000"/>
      <w:sz w:val="20"/>
    </w:rPr>
  </w:style>
  <w:style w:type="character" w:customStyle="1" w:styleId="ListLabel78">
    <w:name w:val="ListLabel 78"/>
    <w:qFormat/>
    <w:rPr>
      <w:color w:val="000000"/>
      <w:sz w:val="20"/>
    </w:rPr>
  </w:style>
  <w:style w:type="character" w:customStyle="1" w:styleId="ListLabel79">
    <w:name w:val="ListLabel 79"/>
    <w:qFormat/>
    <w:rPr>
      <w:b/>
    </w:rPr>
  </w:style>
  <w:style w:type="character" w:customStyle="1" w:styleId="ListLabel80">
    <w:name w:val="ListLabel 80"/>
    <w:qFormat/>
    <w:rPr>
      <w:b w:val="0"/>
    </w:rPr>
  </w:style>
  <w:style w:type="character" w:customStyle="1" w:styleId="ListLabel81">
    <w:name w:val="ListLabel 81"/>
    <w:qFormat/>
    <w:rPr>
      <w:b/>
    </w:rPr>
  </w:style>
  <w:style w:type="character" w:customStyle="1" w:styleId="ListLabel82">
    <w:name w:val="ListLabel 82"/>
    <w:qFormat/>
    <w:rPr>
      <w:rFonts w:cs="Arial"/>
      <w:b/>
    </w:rPr>
  </w:style>
  <w:style w:type="character" w:customStyle="1" w:styleId="ListLabel83">
    <w:name w:val="ListLabel 83"/>
    <w:qFormat/>
    <w:rPr>
      <w:b w:val="0"/>
    </w:rPr>
  </w:style>
  <w:style w:type="character" w:customStyle="1" w:styleId="ListLabel84">
    <w:name w:val="ListLabel 84"/>
    <w:qFormat/>
    <w:rPr>
      <w:rFonts w:eastAsia="Times New Roman" w:cs="Arial"/>
      <w:b w:val="0"/>
      <w:color w:val="00000A"/>
    </w:rPr>
  </w:style>
  <w:style w:type="character" w:customStyle="1" w:styleId="ListLabel85">
    <w:name w:val="ListLabel 85"/>
    <w:qFormat/>
    <w:rPr>
      <w:rFonts w:ascii="Times New Roman" w:hAnsi="Times New Roman" w:cs="Arial"/>
      <w:b/>
      <w:sz w:val="22"/>
    </w:rPr>
  </w:style>
  <w:style w:type="character" w:customStyle="1" w:styleId="ListLabel86">
    <w:name w:val="ListLabel 86"/>
    <w:qFormat/>
    <w:rPr>
      <w:rFonts w:ascii="Times New Roman" w:hAnsi="Times New Roman"/>
      <w:b/>
      <w:bCs/>
      <w:sz w:val="22"/>
    </w:rPr>
  </w:style>
  <w:style w:type="character" w:customStyle="1" w:styleId="ListLabel87">
    <w:name w:val="ListLabel 87"/>
    <w:qFormat/>
    <w:rPr>
      <w:rFonts w:ascii="Times New Roman" w:eastAsia="Times New Roman" w:hAnsi="Times New Roman" w:cs="Arial"/>
      <w:b/>
      <w:bCs/>
      <w:color w:val="00000A"/>
      <w:sz w:val="22"/>
    </w:rPr>
  </w:style>
  <w:style w:type="character" w:customStyle="1" w:styleId="ListLabel88">
    <w:name w:val="ListLabel 88"/>
    <w:qFormat/>
    <w:rPr>
      <w:rFonts w:ascii="Times New Roman" w:hAnsi="Times New Roman" w:cs="Arial"/>
      <w:b/>
      <w:bCs/>
      <w:sz w:val="22"/>
    </w:rPr>
  </w:style>
  <w:style w:type="character" w:customStyle="1" w:styleId="ListLabel89">
    <w:name w:val="ListLabel 89"/>
    <w:qFormat/>
    <w:rPr>
      <w:color w:val="000000"/>
      <w:sz w:val="20"/>
    </w:rPr>
  </w:style>
  <w:style w:type="character" w:customStyle="1" w:styleId="ListLabel90">
    <w:name w:val="ListLabel 90"/>
    <w:qFormat/>
    <w:rPr>
      <w:color w:val="000000"/>
      <w:sz w:val="20"/>
    </w:rPr>
  </w:style>
  <w:style w:type="character" w:customStyle="1" w:styleId="ListLabel91">
    <w:name w:val="ListLabel 91"/>
    <w:qFormat/>
    <w:rPr>
      <w:rFonts w:ascii="Times New Roman" w:hAnsi="Times New Roman"/>
      <w:b/>
      <w:bCs/>
      <w:color w:val="000000"/>
      <w:sz w:val="22"/>
      <w:szCs w:val="20"/>
    </w:rPr>
  </w:style>
  <w:style w:type="character" w:customStyle="1" w:styleId="ListLabel92">
    <w:name w:val="ListLabel 92"/>
    <w:qFormat/>
    <w:rPr>
      <w:color w:val="000000"/>
      <w:sz w:val="20"/>
    </w:rPr>
  </w:style>
  <w:style w:type="character" w:customStyle="1" w:styleId="ListLabel93">
    <w:name w:val="ListLabel 93"/>
    <w:qFormat/>
    <w:rPr>
      <w:color w:val="000000"/>
      <w:sz w:val="20"/>
    </w:rPr>
  </w:style>
  <w:style w:type="character" w:customStyle="1" w:styleId="ListLabel94">
    <w:name w:val="ListLabel 94"/>
    <w:qFormat/>
    <w:rPr>
      <w:color w:val="000000"/>
      <w:sz w:val="20"/>
    </w:rPr>
  </w:style>
  <w:style w:type="character" w:customStyle="1" w:styleId="ListLabel95">
    <w:name w:val="ListLabel 95"/>
    <w:qFormat/>
    <w:rPr>
      <w:color w:val="000000"/>
      <w:sz w:val="20"/>
    </w:rPr>
  </w:style>
  <w:style w:type="character" w:customStyle="1" w:styleId="ListLabel96">
    <w:name w:val="ListLabel 96"/>
    <w:qFormat/>
    <w:rPr>
      <w:color w:val="000000"/>
      <w:sz w:val="20"/>
    </w:rPr>
  </w:style>
  <w:style w:type="character" w:customStyle="1" w:styleId="ListLabel97">
    <w:name w:val="ListLabel 97"/>
    <w:qFormat/>
    <w:rPr>
      <w:color w:val="000000"/>
      <w:sz w:val="20"/>
    </w:rPr>
  </w:style>
  <w:style w:type="character" w:customStyle="1" w:styleId="ListLabel98">
    <w:name w:val="ListLabel 98"/>
    <w:qFormat/>
    <w:rPr>
      <w:rFonts w:ascii="Times New Roman" w:hAnsi="Times New Roman"/>
      <w:b/>
      <w:bCs/>
      <w:sz w:val="22"/>
    </w:rPr>
  </w:style>
  <w:style w:type="character" w:customStyle="1" w:styleId="ListLabel99">
    <w:name w:val="ListLabel 99"/>
    <w:qFormat/>
    <w:rPr>
      <w:rFonts w:ascii="Times New Roman" w:hAnsi="Times New Roman"/>
      <w:b/>
      <w:bCs/>
      <w:sz w:val="22"/>
    </w:rPr>
  </w:style>
  <w:style w:type="character" w:customStyle="1" w:styleId="ListLabel100">
    <w:name w:val="ListLabel 100"/>
    <w:qFormat/>
    <w:rPr>
      <w:rFonts w:cs="Arial"/>
      <w:b/>
    </w:rPr>
  </w:style>
  <w:style w:type="character" w:customStyle="1" w:styleId="ListLabel101">
    <w:name w:val="ListLabel 101"/>
    <w:qFormat/>
    <w:rPr>
      <w:b w:val="0"/>
    </w:rPr>
  </w:style>
  <w:style w:type="character" w:customStyle="1" w:styleId="ListLabel102">
    <w:name w:val="ListLabel 102"/>
    <w:qFormat/>
    <w:rPr>
      <w:rFonts w:eastAsia="Times New Roman" w:cs="Arial"/>
      <w:b w:val="0"/>
      <w:color w:val="00000A"/>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9E36A5"/>
    <w:rPr>
      <w:szCs w:val="20"/>
    </w:rPr>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uiPriority w:val="99"/>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eastAsia="Times New Roman"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rFonts w:ascii="Times New Roman" w:eastAsia="Times New Roman" w:hAnsi="Times New Roman" w:cs="Times New Roman"/>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spacing w:before="120" w:after="120" w:line="276" w:lineRule="auto"/>
      <w:jc w:val="both"/>
    </w:pPr>
    <w:rPr>
      <w:rFonts w:ascii="Ecofont_Spranq_eco_Sans" w:eastAsia="Arial Unicode MS" w:hAnsi="Ecofont_Spranq_eco_Sans" w:cs="Times New Roman"/>
    </w:rPr>
  </w:style>
  <w:style w:type="paragraph" w:customStyle="1" w:styleId="Nivel10">
    <w:name w:val="Nivel 1"/>
    <w:basedOn w:val="Nivel2"/>
    <w:qFormat/>
    <w:rsid w:val="00532993"/>
    <w:rPr>
      <w:rFonts w:cs="Arial"/>
      <w:b/>
    </w:rPr>
  </w:style>
  <w:style w:type="paragraph" w:customStyle="1" w:styleId="Nivel3">
    <w:name w:val="Nivel 3"/>
    <w:basedOn w:val="Nivel2"/>
    <w:qFormat/>
    <w:rsid w:val="00532993"/>
    <w:rPr>
      <w:rFonts w:cs="Arial"/>
      <w:color w:val="000000"/>
    </w:rPr>
  </w:style>
  <w:style w:type="paragraph" w:customStyle="1" w:styleId="Nivel4">
    <w:name w:val="Nivel 4"/>
    <w:basedOn w:val="Nivel3"/>
    <w:link w:val="Nivel4Char"/>
    <w:qFormat/>
    <w:rsid w:val="00532993"/>
    <w:rPr>
      <w:color w:val="00000A"/>
    </w:rPr>
  </w:style>
  <w:style w:type="paragraph" w:customStyle="1" w:styleId="Nivel5">
    <w:name w:val="Nivel 5"/>
    <w:basedOn w:val="Nivel4"/>
    <w:qFormat/>
    <w:rsid w:val="00532993"/>
    <w:pPr>
      <w:tabs>
        <w:tab w:val="left" w:pos="360"/>
      </w:tabs>
    </w:pPr>
  </w:style>
  <w:style w:type="paragraph" w:customStyle="1" w:styleId="textbody">
    <w:name w:val="textbody"/>
    <w:basedOn w:val="Normal"/>
    <w:qFormat/>
    <w:rsid w:val="00BF7734"/>
    <w:pPr>
      <w:spacing w:beforeAutospacing="1" w:afterAutospacing="1"/>
    </w:pPr>
    <w:rPr>
      <w:rFonts w:ascii="Times New Roman" w:hAnsi="Times New Roman" w:cs="Times New Roman"/>
      <w:sz w:val="24"/>
    </w:rPr>
  </w:style>
  <w:style w:type="paragraph" w:customStyle="1" w:styleId="Contedodatabela">
    <w:name w:val="Conteúdo da tabela"/>
    <w:basedOn w:val="Normal"/>
    <w:qFormat/>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23" w:type="dxa"/>
        <w:right w:w="108" w:type="dxa"/>
      </w:tblCellMar>
    </w:tblPr>
  </w:style>
  <w:style w:type="table" w:customStyle="1" w:styleId="a0">
    <w:basedOn w:val="TableNormal"/>
    <w:tblPr>
      <w:tblStyleRowBandSize w:val="1"/>
      <w:tblStyleColBandSize w:val="1"/>
      <w:tblCellMar>
        <w:left w:w="123" w:type="dxa"/>
        <w:right w:w="108" w:type="dxa"/>
      </w:tblCellMar>
    </w:tblPr>
  </w:style>
  <w:style w:type="table" w:customStyle="1" w:styleId="a1">
    <w:basedOn w:val="TableNormal"/>
    <w:tblPr>
      <w:tblStyleRowBandSize w:val="1"/>
      <w:tblStyleColBandSize w:val="1"/>
      <w:tblCellMar>
        <w:left w:w="123" w:type="dxa"/>
        <w:right w:w="108" w:type="dxa"/>
      </w:tblCellMar>
    </w:tblPr>
  </w:style>
  <w:style w:type="character" w:customStyle="1" w:styleId="fontstyle01">
    <w:name w:val="fontstyle01"/>
    <w:basedOn w:val="Fontepargpadro"/>
    <w:rsid w:val="004270B8"/>
    <w:rPr>
      <w:rFonts w:ascii="Arial-BoldMT" w:hAnsi="Arial-BoldMT" w:hint="default"/>
      <w:b/>
      <w:bCs/>
      <w:i w:val="0"/>
      <w:i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eastAsia="Times New Roman"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uiPriority w:val="99"/>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qFormat/>
    <w:rsid w:val="001F28BE"/>
    <w:rPr>
      <w:b/>
    </w:rPr>
  </w:style>
  <w:style w:type="character" w:customStyle="1" w:styleId="GradeColorida-nfase1Char">
    <w:name w:val="Grade Colorida - Ênfase 1 Char"/>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Nivel4Char">
    <w:name w:val="Nivel 4 Char"/>
    <w:basedOn w:val="Fontepargpadro"/>
    <w:link w:val="Nivel4"/>
    <w:qFormat/>
    <w:rsid w:val="00532993"/>
    <w:rPr>
      <w:rFonts w:ascii="Ecofont_Spranq_eco_Sans" w:eastAsia="Arial Unicode MS" w:hAnsi="Ecofont_Spranq_eco_Sans" w:cs="Arial"/>
    </w:rPr>
  </w:style>
  <w:style w:type="character" w:styleId="HiperlinkVisitado">
    <w:name w:val="FollowedHyperlink"/>
    <w:basedOn w:val="Fontepargpadro"/>
    <w:semiHidden/>
    <w:unhideWhenUsed/>
    <w:qFormat/>
    <w:rsid w:val="00175687"/>
    <w:rPr>
      <w:color w:val="800080" w:themeColor="followedHyperlink"/>
      <w:u w:val="single"/>
    </w:rPr>
  </w:style>
  <w:style w:type="character" w:customStyle="1" w:styleId="MenoPendente1">
    <w:name w:val="Menção Pendente1"/>
    <w:basedOn w:val="Fontepargpadro"/>
    <w:uiPriority w:val="99"/>
    <w:semiHidden/>
    <w:unhideWhenUsed/>
    <w:qFormat/>
    <w:rsid w:val="0006398B"/>
    <w:rPr>
      <w:color w:val="605E5C"/>
      <w:shd w:val="clear" w:color="auto" w:fill="E1DFDD"/>
    </w:rPr>
  </w:style>
  <w:style w:type="character" w:customStyle="1" w:styleId="MenoPendente2">
    <w:name w:val="Menção Pendente2"/>
    <w:basedOn w:val="Fontepargpadro"/>
    <w:uiPriority w:val="99"/>
    <w:semiHidden/>
    <w:unhideWhenUsed/>
    <w:qFormat/>
    <w:rsid w:val="0006398B"/>
    <w:rPr>
      <w:color w:val="605E5C"/>
      <w:shd w:val="clear" w:color="auto" w:fill="E1DFDD"/>
    </w:rPr>
  </w:style>
  <w:style w:type="character" w:customStyle="1" w:styleId="ListLabel13">
    <w:name w:val="ListLabel 13"/>
    <w:qFormat/>
    <w:rPr>
      <w:rFonts w:cs="Arial"/>
      <w:b/>
    </w:rPr>
  </w:style>
  <w:style w:type="character" w:customStyle="1" w:styleId="ListLabel14">
    <w:name w:val="ListLabel 14"/>
    <w:qFormat/>
    <w:rPr>
      <w:rFonts w:ascii="Arial" w:hAnsi="Arial"/>
      <w:b w:val="0"/>
    </w:rPr>
  </w:style>
  <w:style w:type="character" w:customStyle="1" w:styleId="ListLabel15">
    <w:name w:val="ListLabel 15"/>
    <w:qFormat/>
    <w:rPr>
      <w:rFonts w:ascii="Arial" w:eastAsia="Times New Roman" w:hAnsi="Arial" w:cs="Arial"/>
      <w:b/>
      <w:color w:val="00000A"/>
    </w:rPr>
  </w:style>
  <w:style w:type="character" w:customStyle="1" w:styleId="ListLabel16">
    <w:name w:val="ListLabel 16"/>
    <w:qFormat/>
    <w:rPr>
      <w:rFonts w:ascii="Arial" w:hAnsi="Arial" w:cs="Arial"/>
    </w:rPr>
  </w:style>
  <w:style w:type="character" w:customStyle="1" w:styleId="ListLabel17">
    <w:name w:val="ListLabel 17"/>
    <w:qFormat/>
    <w:rPr>
      <w:color w:val="000000"/>
      <w:sz w:val="20"/>
    </w:rPr>
  </w:style>
  <w:style w:type="character" w:customStyle="1" w:styleId="ListLabel18">
    <w:name w:val="ListLabel 18"/>
    <w:qFormat/>
    <w:rPr>
      <w:color w:val="000000"/>
      <w:sz w:val="20"/>
    </w:rPr>
  </w:style>
  <w:style w:type="character" w:customStyle="1" w:styleId="ListLabel19">
    <w:name w:val="ListLabel 19"/>
    <w:qFormat/>
    <w:rPr>
      <w:color w:val="000000"/>
      <w:sz w:val="18"/>
    </w:rPr>
  </w:style>
  <w:style w:type="character" w:customStyle="1" w:styleId="ListLabel20">
    <w:name w:val="ListLabel 20"/>
    <w:qFormat/>
    <w:rPr>
      <w:color w:val="000000"/>
      <w:sz w:val="20"/>
    </w:rPr>
  </w:style>
  <w:style w:type="character" w:customStyle="1" w:styleId="ListLabel21">
    <w:name w:val="ListLabel 21"/>
    <w:qFormat/>
    <w:rPr>
      <w:color w:val="000000"/>
      <w:sz w:val="20"/>
    </w:rPr>
  </w:style>
  <w:style w:type="character" w:customStyle="1" w:styleId="ListLabel22">
    <w:name w:val="ListLabel 22"/>
    <w:qFormat/>
    <w:rPr>
      <w:color w:val="000000"/>
      <w:sz w:val="20"/>
    </w:rPr>
  </w:style>
  <w:style w:type="character" w:customStyle="1" w:styleId="ListLabel23">
    <w:name w:val="ListLabel 23"/>
    <w:qFormat/>
    <w:rPr>
      <w:color w:val="000000"/>
      <w:sz w:val="20"/>
    </w:rPr>
  </w:style>
  <w:style w:type="character" w:customStyle="1" w:styleId="ListLabel24">
    <w:name w:val="ListLabel 24"/>
    <w:qFormat/>
    <w:rPr>
      <w:color w:val="000000"/>
      <w:sz w:val="20"/>
    </w:rPr>
  </w:style>
  <w:style w:type="character" w:customStyle="1" w:styleId="ListLabel25">
    <w:name w:val="ListLabel 25"/>
    <w:qFormat/>
    <w:rPr>
      <w:color w:val="000000"/>
      <w:sz w:val="20"/>
    </w:rPr>
  </w:style>
  <w:style w:type="character" w:customStyle="1" w:styleId="ListLabel26">
    <w:name w:val="ListLabel 26"/>
    <w:qFormat/>
    <w:rPr>
      <w:rFonts w:cs="Arial"/>
      <w:b/>
    </w:rPr>
  </w:style>
  <w:style w:type="character" w:customStyle="1" w:styleId="ListLabel27">
    <w:name w:val="ListLabel 27"/>
    <w:qFormat/>
    <w:rPr>
      <w:b w:val="0"/>
    </w:rPr>
  </w:style>
  <w:style w:type="character" w:customStyle="1" w:styleId="ListLabel28">
    <w:name w:val="ListLabel 28"/>
    <w:qFormat/>
    <w:rPr>
      <w:rFonts w:eastAsia="Times New Roman" w:cs="Arial"/>
      <w:b w:val="0"/>
      <w:color w:val="00000A"/>
    </w:rPr>
  </w:style>
  <w:style w:type="character" w:customStyle="1" w:styleId="ListLabel29">
    <w:name w:val="ListLabel 29"/>
    <w:qFormat/>
    <w:rPr>
      <w:b/>
    </w:rPr>
  </w:style>
  <w:style w:type="character" w:customStyle="1" w:styleId="ListLabel30">
    <w:name w:val="ListLabel 30"/>
    <w:qFormat/>
    <w:rPr>
      <w:b/>
      <w:i w:val="0"/>
      <w:strike w:val="0"/>
      <w:dstrike w:val="0"/>
    </w:rPr>
  </w:style>
  <w:style w:type="character" w:customStyle="1" w:styleId="ListLabel31">
    <w:name w:val="ListLabel 31"/>
    <w:qFormat/>
    <w:rPr>
      <w:b w:val="0"/>
      <w:strike w:val="0"/>
      <w:dstrike w:val="0"/>
    </w:rPr>
  </w:style>
  <w:style w:type="character" w:customStyle="1" w:styleId="ListLabel32">
    <w:name w:val="ListLabel 32"/>
    <w:qFormat/>
    <w:rPr>
      <w:i w:val="0"/>
      <w:strike w:val="0"/>
      <w:dstrike w:val="0"/>
    </w:rPr>
  </w:style>
  <w:style w:type="character" w:customStyle="1" w:styleId="ListLabel33">
    <w:name w:val="ListLabel 33"/>
    <w:qFormat/>
    <w:rPr>
      <w:rFonts w:ascii="Arial" w:hAnsi="Arial"/>
      <w:b/>
    </w:rPr>
  </w:style>
  <w:style w:type="character" w:customStyle="1" w:styleId="ListLabel34">
    <w:name w:val="ListLabel 34"/>
    <w:qFormat/>
    <w:rPr>
      <w:rFonts w:ascii="Arial" w:hAnsi="Arial"/>
      <w:b/>
    </w:rPr>
  </w:style>
  <w:style w:type="character" w:customStyle="1" w:styleId="ListLabel35">
    <w:name w:val="ListLabel 35"/>
    <w:qFormat/>
    <w:rPr>
      <w:rFonts w:cs="Arial"/>
      <w:b/>
    </w:rPr>
  </w:style>
  <w:style w:type="character" w:customStyle="1" w:styleId="ListLabel36">
    <w:name w:val="ListLabel 36"/>
    <w:qFormat/>
    <w:rPr>
      <w:b w:val="0"/>
    </w:rPr>
  </w:style>
  <w:style w:type="character" w:customStyle="1" w:styleId="ListLabel37">
    <w:name w:val="ListLabel 37"/>
    <w:qFormat/>
    <w:rPr>
      <w:rFonts w:eastAsia="Times New Roman" w:cs="Arial"/>
      <w:b w:val="0"/>
      <w:color w:val="00000A"/>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ListLabel41">
    <w:name w:val="ListLabel 41"/>
    <w:qFormat/>
    <w:rPr>
      <w:rFonts w:cs="Arial"/>
      <w:b/>
    </w:rPr>
  </w:style>
  <w:style w:type="character" w:customStyle="1" w:styleId="ListLabel42">
    <w:name w:val="ListLabel 42"/>
    <w:qFormat/>
    <w:rPr>
      <w:b w:val="0"/>
    </w:rPr>
  </w:style>
  <w:style w:type="character" w:customStyle="1" w:styleId="ListLabel43">
    <w:name w:val="ListLabel 43"/>
    <w:qFormat/>
    <w:rPr>
      <w:rFonts w:eastAsia="Times New Roman" w:cs="Arial"/>
      <w:b w:val="0"/>
      <w:color w:val="00000A"/>
    </w:rPr>
  </w:style>
  <w:style w:type="character" w:customStyle="1" w:styleId="ListLabel44">
    <w:name w:val="ListLabel 44"/>
    <w:qFormat/>
    <w:rPr>
      <w:rFonts w:cs="Arial"/>
      <w:b/>
    </w:rPr>
  </w:style>
  <w:style w:type="character" w:customStyle="1" w:styleId="ListLabel45">
    <w:name w:val="ListLabel 45"/>
    <w:qFormat/>
    <w:rPr>
      <w:rFonts w:ascii="Arial" w:hAnsi="Arial"/>
      <w:b w:val="0"/>
    </w:rPr>
  </w:style>
  <w:style w:type="character" w:customStyle="1" w:styleId="ListLabel46">
    <w:name w:val="ListLabel 46"/>
    <w:qFormat/>
    <w:rPr>
      <w:rFonts w:ascii="Arial" w:eastAsia="Times New Roman" w:hAnsi="Arial" w:cs="Arial"/>
      <w:b/>
      <w:color w:val="00000A"/>
    </w:rPr>
  </w:style>
  <w:style w:type="character" w:customStyle="1" w:styleId="ListLabel47">
    <w:name w:val="ListLabel 47"/>
    <w:qFormat/>
    <w:rPr>
      <w:rFonts w:ascii="Arial" w:hAnsi="Arial" w:cs="Arial"/>
    </w:rPr>
  </w:style>
  <w:style w:type="character" w:customStyle="1" w:styleId="ListLabel48">
    <w:name w:val="ListLabel 48"/>
    <w:qFormat/>
    <w:rPr>
      <w:color w:val="000000"/>
      <w:sz w:val="20"/>
    </w:rPr>
  </w:style>
  <w:style w:type="character" w:customStyle="1" w:styleId="ListLabel49">
    <w:name w:val="ListLabel 49"/>
    <w:qFormat/>
    <w:rPr>
      <w:color w:val="000000"/>
      <w:sz w:val="20"/>
    </w:rPr>
  </w:style>
  <w:style w:type="character" w:customStyle="1" w:styleId="ListLabel50">
    <w:name w:val="ListLabel 50"/>
    <w:qFormat/>
    <w:rPr>
      <w:color w:val="000000"/>
      <w:sz w:val="18"/>
    </w:rPr>
  </w:style>
  <w:style w:type="character" w:customStyle="1" w:styleId="ListLabel51">
    <w:name w:val="ListLabel 51"/>
    <w:qFormat/>
    <w:rPr>
      <w:color w:val="000000"/>
      <w:sz w:val="20"/>
    </w:rPr>
  </w:style>
  <w:style w:type="character" w:customStyle="1" w:styleId="ListLabel52">
    <w:name w:val="ListLabel 52"/>
    <w:qFormat/>
    <w:rPr>
      <w:color w:val="000000"/>
      <w:sz w:val="20"/>
    </w:rPr>
  </w:style>
  <w:style w:type="character" w:customStyle="1" w:styleId="ListLabel53">
    <w:name w:val="ListLabel 53"/>
    <w:qFormat/>
    <w:rPr>
      <w:color w:val="000000"/>
      <w:sz w:val="20"/>
    </w:rPr>
  </w:style>
  <w:style w:type="character" w:customStyle="1" w:styleId="ListLabel54">
    <w:name w:val="ListLabel 54"/>
    <w:qFormat/>
    <w:rPr>
      <w:color w:val="000000"/>
      <w:sz w:val="20"/>
    </w:rPr>
  </w:style>
  <w:style w:type="character" w:customStyle="1" w:styleId="ListLabel55">
    <w:name w:val="ListLabel 55"/>
    <w:qFormat/>
    <w:rPr>
      <w:color w:val="000000"/>
      <w:sz w:val="20"/>
    </w:rPr>
  </w:style>
  <w:style w:type="character" w:customStyle="1" w:styleId="ListLabel56">
    <w:name w:val="ListLabel 56"/>
    <w:qFormat/>
    <w:rPr>
      <w:color w:val="000000"/>
      <w:sz w:val="20"/>
    </w:rPr>
  </w:style>
  <w:style w:type="character" w:customStyle="1" w:styleId="ListLabel57">
    <w:name w:val="ListLabel 57"/>
    <w:qFormat/>
    <w:rPr>
      <w:rFonts w:cs="Arial"/>
      <w:b/>
    </w:rPr>
  </w:style>
  <w:style w:type="character" w:customStyle="1" w:styleId="ListLabel58">
    <w:name w:val="ListLabel 58"/>
    <w:qFormat/>
    <w:rPr>
      <w:b w:val="0"/>
    </w:rPr>
  </w:style>
  <w:style w:type="character" w:customStyle="1" w:styleId="ListLabel59">
    <w:name w:val="ListLabel 59"/>
    <w:qFormat/>
    <w:rPr>
      <w:rFonts w:eastAsia="Times New Roman" w:cs="Arial"/>
      <w:b w:val="0"/>
      <w:color w:val="00000A"/>
    </w:rPr>
  </w:style>
  <w:style w:type="character" w:customStyle="1" w:styleId="ListLabel60">
    <w:name w:val="ListLabel 60"/>
    <w:qFormat/>
    <w:rPr>
      <w:b/>
    </w:rPr>
  </w:style>
  <w:style w:type="character" w:customStyle="1" w:styleId="ListLabel61">
    <w:name w:val="ListLabel 61"/>
    <w:qFormat/>
    <w:rPr>
      <w:rFonts w:ascii="Arial" w:hAnsi="Arial"/>
      <w:b w:val="0"/>
    </w:rPr>
  </w:style>
  <w:style w:type="character" w:customStyle="1" w:styleId="ListLabel62">
    <w:name w:val="ListLabel 62"/>
    <w:qFormat/>
    <w:rPr>
      <w:rFonts w:ascii="Arial" w:hAnsi="Arial"/>
      <w:b w:val="0"/>
    </w:rPr>
  </w:style>
  <w:style w:type="character" w:customStyle="1" w:styleId="ListLabel63">
    <w:name w:val="ListLabel 63"/>
    <w:qFormat/>
    <w:rPr>
      <w:rFonts w:cs="Arial"/>
      <w:b/>
    </w:rPr>
  </w:style>
  <w:style w:type="character" w:customStyle="1" w:styleId="ListLabel64">
    <w:name w:val="ListLabel 64"/>
    <w:qFormat/>
    <w:rPr>
      <w:b w:val="0"/>
    </w:rPr>
  </w:style>
  <w:style w:type="character" w:customStyle="1" w:styleId="ListLabel65">
    <w:name w:val="ListLabel 65"/>
    <w:qFormat/>
    <w:rPr>
      <w:rFonts w:eastAsia="Times New Roman" w:cs="Arial"/>
      <w:b w:val="0"/>
      <w:color w:val="00000A"/>
    </w:rPr>
  </w:style>
  <w:style w:type="character" w:customStyle="1" w:styleId="ListLabel66">
    <w:name w:val="ListLabel 66"/>
    <w:qFormat/>
    <w:rPr>
      <w:rFonts w:cs="Arial"/>
      <w:b/>
    </w:rPr>
  </w:style>
  <w:style w:type="character" w:customStyle="1" w:styleId="ListLabel67">
    <w:name w:val="ListLabel 67"/>
    <w:qFormat/>
    <w:rPr>
      <w:b w:val="0"/>
    </w:rPr>
  </w:style>
  <w:style w:type="character" w:customStyle="1" w:styleId="ListLabel68">
    <w:name w:val="ListLabel 68"/>
    <w:qFormat/>
    <w:rPr>
      <w:rFonts w:eastAsia="Times New Roman" w:cs="Arial"/>
      <w:b w:val="0"/>
      <w:bCs w:val="0"/>
      <w:color w:val="00000A"/>
    </w:rPr>
  </w:style>
  <w:style w:type="character" w:customStyle="1" w:styleId="ListLabel69">
    <w:name w:val="ListLabel 69"/>
    <w:qFormat/>
    <w:rPr>
      <w:rFonts w:cs="Arial"/>
    </w:rPr>
  </w:style>
  <w:style w:type="character" w:customStyle="1" w:styleId="ListLabel70">
    <w:name w:val="ListLabel 70"/>
    <w:qFormat/>
    <w:rPr>
      <w:color w:val="000000"/>
      <w:sz w:val="20"/>
    </w:rPr>
  </w:style>
  <w:style w:type="character" w:customStyle="1" w:styleId="ListLabel71">
    <w:name w:val="ListLabel 71"/>
    <w:qFormat/>
    <w:rPr>
      <w:color w:val="000000"/>
      <w:sz w:val="20"/>
    </w:rPr>
  </w:style>
  <w:style w:type="character" w:customStyle="1" w:styleId="ListLabel72">
    <w:name w:val="ListLabel 72"/>
    <w:qFormat/>
    <w:rPr>
      <w:color w:val="000000"/>
      <w:sz w:val="20"/>
      <w:szCs w:val="20"/>
    </w:rPr>
  </w:style>
  <w:style w:type="character" w:customStyle="1" w:styleId="ListLabel73">
    <w:name w:val="ListLabel 73"/>
    <w:qFormat/>
    <w:rPr>
      <w:color w:val="000000"/>
      <w:sz w:val="20"/>
    </w:rPr>
  </w:style>
  <w:style w:type="character" w:customStyle="1" w:styleId="ListLabel74">
    <w:name w:val="ListLabel 74"/>
    <w:qFormat/>
    <w:rPr>
      <w:color w:val="000000"/>
      <w:sz w:val="20"/>
    </w:rPr>
  </w:style>
  <w:style w:type="character" w:customStyle="1" w:styleId="ListLabel75">
    <w:name w:val="ListLabel 75"/>
    <w:qFormat/>
    <w:rPr>
      <w:color w:val="000000"/>
      <w:sz w:val="20"/>
    </w:rPr>
  </w:style>
  <w:style w:type="character" w:customStyle="1" w:styleId="ListLabel76">
    <w:name w:val="ListLabel 76"/>
    <w:qFormat/>
    <w:rPr>
      <w:color w:val="000000"/>
      <w:sz w:val="20"/>
    </w:rPr>
  </w:style>
  <w:style w:type="character" w:customStyle="1" w:styleId="ListLabel77">
    <w:name w:val="ListLabel 77"/>
    <w:qFormat/>
    <w:rPr>
      <w:color w:val="000000"/>
      <w:sz w:val="20"/>
    </w:rPr>
  </w:style>
  <w:style w:type="character" w:customStyle="1" w:styleId="ListLabel78">
    <w:name w:val="ListLabel 78"/>
    <w:qFormat/>
    <w:rPr>
      <w:color w:val="000000"/>
      <w:sz w:val="20"/>
    </w:rPr>
  </w:style>
  <w:style w:type="character" w:customStyle="1" w:styleId="ListLabel79">
    <w:name w:val="ListLabel 79"/>
    <w:qFormat/>
    <w:rPr>
      <w:b/>
    </w:rPr>
  </w:style>
  <w:style w:type="character" w:customStyle="1" w:styleId="ListLabel80">
    <w:name w:val="ListLabel 80"/>
    <w:qFormat/>
    <w:rPr>
      <w:b w:val="0"/>
    </w:rPr>
  </w:style>
  <w:style w:type="character" w:customStyle="1" w:styleId="ListLabel81">
    <w:name w:val="ListLabel 81"/>
    <w:qFormat/>
    <w:rPr>
      <w:b/>
    </w:rPr>
  </w:style>
  <w:style w:type="character" w:customStyle="1" w:styleId="ListLabel82">
    <w:name w:val="ListLabel 82"/>
    <w:qFormat/>
    <w:rPr>
      <w:rFonts w:cs="Arial"/>
      <w:b/>
    </w:rPr>
  </w:style>
  <w:style w:type="character" w:customStyle="1" w:styleId="ListLabel83">
    <w:name w:val="ListLabel 83"/>
    <w:qFormat/>
    <w:rPr>
      <w:b w:val="0"/>
    </w:rPr>
  </w:style>
  <w:style w:type="character" w:customStyle="1" w:styleId="ListLabel84">
    <w:name w:val="ListLabel 84"/>
    <w:qFormat/>
    <w:rPr>
      <w:rFonts w:eastAsia="Times New Roman" w:cs="Arial"/>
      <w:b w:val="0"/>
      <w:color w:val="00000A"/>
    </w:rPr>
  </w:style>
  <w:style w:type="character" w:customStyle="1" w:styleId="ListLabel85">
    <w:name w:val="ListLabel 85"/>
    <w:qFormat/>
    <w:rPr>
      <w:rFonts w:ascii="Times New Roman" w:hAnsi="Times New Roman" w:cs="Arial"/>
      <w:b/>
      <w:sz w:val="22"/>
    </w:rPr>
  </w:style>
  <w:style w:type="character" w:customStyle="1" w:styleId="ListLabel86">
    <w:name w:val="ListLabel 86"/>
    <w:qFormat/>
    <w:rPr>
      <w:rFonts w:ascii="Times New Roman" w:hAnsi="Times New Roman"/>
      <w:b/>
      <w:bCs/>
      <w:sz w:val="22"/>
    </w:rPr>
  </w:style>
  <w:style w:type="character" w:customStyle="1" w:styleId="ListLabel87">
    <w:name w:val="ListLabel 87"/>
    <w:qFormat/>
    <w:rPr>
      <w:rFonts w:ascii="Times New Roman" w:eastAsia="Times New Roman" w:hAnsi="Times New Roman" w:cs="Arial"/>
      <w:b/>
      <w:bCs/>
      <w:color w:val="00000A"/>
      <w:sz w:val="22"/>
    </w:rPr>
  </w:style>
  <w:style w:type="character" w:customStyle="1" w:styleId="ListLabel88">
    <w:name w:val="ListLabel 88"/>
    <w:qFormat/>
    <w:rPr>
      <w:rFonts w:ascii="Times New Roman" w:hAnsi="Times New Roman" w:cs="Arial"/>
      <w:b/>
      <w:bCs/>
      <w:sz w:val="22"/>
    </w:rPr>
  </w:style>
  <w:style w:type="character" w:customStyle="1" w:styleId="ListLabel89">
    <w:name w:val="ListLabel 89"/>
    <w:qFormat/>
    <w:rPr>
      <w:color w:val="000000"/>
      <w:sz w:val="20"/>
    </w:rPr>
  </w:style>
  <w:style w:type="character" w:customStyle="1" w:styleId="ListLabel90">
    <w:name w:val="ListLabel 90"/>
    <w:qFormat/>
    <w:rPr>
      <w:color w:val="000000"/>
      <w:sz w:val="20"/>
    </w:rPr>
  </w:style>
  <w:style w:type="character" w:customStyle="1" w:styleId="ListLabel91">
    <w:name w:val="ListLabel 91"/>
    <w:qFormat/>
    <w:rPr>
      <w:rFonts w:ascii="Times New Roman" w:hAnsi="Times New Roman"/>
      <w:b/>
      <w:bCs/>
      <w:color w:val="000000"/>
      <w:sz w:val="22"/>
      <w:szCs w:val="20"/>
    </w:rPr>
  </w:style>
  <w:style w:type="character" w:customStyle="1" w:styleId="ListLabel92">
    <w:name w:val="ListLabel 92"/>
    <w:qFormat/>
    <w:rPr>
      <w:color w:val="000000"/>
      <w:sz w:val="20"/>
    </w:rPr>
  </w:style>
  <w:style w:type="character" w:customStyle="1" w:styleId="ListLabel93">
    <w:name w:val="ListLabel 93"/>
    <w:qFormat/>
    <w:rPr>
      <w:color w:val="000000"/>
      <w:sz w:val="20"/>
    </w:rPr>
  </w:style>
  <w:style w:type="character" w:customStyle="1" w:styleId="ListLabel94">
    <w:name w:val="ListLabel 94"/>
    <w:qFormat/>
    <w:rPr>
      <w:color w:val="000000"/>
      <w:sz w:val="20"/>
    </w:rPr>
  </w:style>
  <w:style w:type="character" w:customStyle="1" w:styleId="ListLabel95">
    <w:name w:val="ListLabel 95"/>
    <w:qFormat/>
    <w:rPr>
      <w:color w:val="000000"/>
      <w:sz w:val="20"/>
    </w:rPr>
  </w:style>
  <w:style w:type="character" w:customStyle="1" w:styleId="ListLabel96">
    <w:name w:val="ListLabel 96"/>
    <w:qFormat/>
    <w:rPr>
      <w:color w:val="000000"/>
      <w:sz w:val="20"/>
    </w:rPr>
  </w:style>
  <w:style w:type="character" w:customStyle="1" w:styleId="ListLabel97">
    <w:name w:val="ListLabel 97"/>
    <w:qFormat/>
    <w:rPr>
      <w:color w:val="000000"/>
      <w:sz w:val="20"/>
    </w:rPr>
  </w:style>
  <w:style w:type="character" w:customStyle="1" w:styleId="ListLabel98">
    <w:name w:val="ListLabel 98"/>
    <w:qFormat/>
    <w:rPr>
      <w:rFonts w:ascii="Times New Roman" w:hAnsi="Times New Roman"/>
      <w:b/>
      <w:bCs/>
      <w:sz w:val="22"/>
    </w:rPr>
  </w:style>
  <w:style w:type="character" w:customStyle="1" w:styleId="ListLabel99">
    <w:name w:val="ListLabel 99"/>
    <w:qFormat/>
    <w:rPr>
      <w:rFonts w:ascii="Times New Roman" w:hAnsi="Times New Roman"/>
      <w:b/>
      <w:bCs/>
      <w:sz w:val="22"/>
    </w:rPr>
  </w:style>
  <w:style w:type="character" w:customStyle="1" w:styleId="ListLabel100">
    <w:name w:val="ListLabel 100"/>
    <w:qFormat/>
    <w:rPr>
      <w:rFonts w:cs="Arial"/>
      <w:b/>
    </w:rPr>
  </w:style>
  <w:style w:type="character" w:customStyle="1" w:styleId="ListLabel101">
    <w:name w:val="ListLabel 101"/>
    <w:qFormat/>
    <w:rPr>
      <w:b w:val="0"/>
    </w:rPr>
  </w:style>
  <w:style w:type="character" w:customStyle="1" w:styleId="ListLabel102">
    <w:name w:val="ListLabel 102"/>
    <w:qFormat/>
    <w:rPr>
      <w:rFonts w:eastAsia="Times New Roman" w:cs="Arial"/>
      <w:b w:val="0"/>
      <w:color w:val="00000A"/>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9E36A5"/>
    <w:rPr>
      <w:szCs w:val="20"/>
    </w:rPr>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uiPriority w:val="99"/>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eastAsia="Times New Roman"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rFonts w:ascii="Times New Roman" w:eastAsia="Times New Roman" w:hAnsi="Times New Roman" w:cs="Times New Roman"/>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spacing w:before="120" w:after="120" w:line="276" w:lineRule="auto"/>
      <w:jc w:val="both"/>
    </w:pPr>
    <w:rPr>
      <w:rFonts w:ascii="Ecofont_Spranq_eco_Sans" w:eastAsia="Arial Unicode MS" w:hAnsi="Ecofont_Spranq_eco_Sans" w:cs="Times New Roman"/>
    </w:rPr>
  </w:style>
  <w:style w:type="paragraph" w:customStyle="1" w:styleId="Nivel10">
    <w:name w:val="Nivel 1"/>
    <w:basedOn w:val="Nivel2"/>
    <w:qFormat/>
    <w:rsid w:val="00532993"/>
    <w:rPr>
      <w:rFonts w:cs="Arial"/>
      <w:b/>
    </w:rPr>
  </w:style>
  <w:style w:type="paragraph" w:customStyle="1" w:styleId="Nivel3">
    <w:name w:val="Nivel 3"/>
    <w:basedOn w:val="Nivel2"/>
    <w:qFormat/>
    <w:rsid w:val="00532993"/>
    <w:rPr>
      <w:rFonts w:cs="Arial"/>
      <w:color w:val="000000"/>
    </w:rPr>
  </w:style>
  <w:style w:type="paragraph" w:customStyle="1" w:styleId="Nivel4">
    <w:name w:val="Nivel 4"/>
    <w:basedOn w:val="Nivel3"/>
    <w:link w:val="Nivel4Char"/>
    <w:qFormat/>
    <w:rsid w:val="00532993"/>
    <w:rPr>
      <w:color w:val="00000A"/>
    </w:rPr>
  </w:style>
  <w:style w:type="paragraph" w:customStyle="1" w:styleId="Nivel5">
    <w:name w:val="Nivel 5"/>
    <w:basedOn w:val="Nivel4"/>
    <w:qFormat/>
    <w:rsid w:val="00532993"/>
    <w:pPr>
      <w:tabs>
        <w:tab w:val="left" w:pos="360"/>
      </w:tabs>
    </w:pPr>
  </w:style>
  <w:style w:type="paragraph" w:customStyle="1" w:styleId="textbody">
    <w:name w:val="textbody"/>
    <w:basedOn w:val="Normal"/>
    <w:qFormat/>
    <w:rsid w:val="00BF7734"/>
    <w:pPr>
      <w:spacing w:beforeAutospacing="1" w:afterAutospacing="1"/>
    </w:pPr>
    <w:rPr>
      <w:rFonts w:ascii="Times New Roman" w:hAnsi="Times New Roman" w:cs="Times New Roman"/>
      <w:sz w:val="24"/>
    </w:rPr>
  </w:style>
  <w:style w:type="paragraph" w:customStyle="1" w:styleId="Contedodatabela">
    <w:name w:val="Conteúdo da tabela"/>
    <w:basedOn w:val="Normal"/>
    <w:qFormat/>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23" w:type="dxa"/>
        <w:right w:w="108" w:type="dxa"/>
      </w:tblCellMar>
    </w:tblPr>
  </w:style>
  <w:style w:type="table" w:customStyle="1" w:styleId="a0">
    <w:basedOn w:val="TableNormal"/>
    <w:tblPr>
      <w:tblStyleRowBandSize w:val="1"/>
      <w:tblStyleColBandSize w:val="1"/>
      <w:tblCellMar>
        <w:left w:w="123" w:type="dxa"/>
        <w:right w:w="108" w:type="dxa"/>
      </w:tblCellMar>
    </w:tblPr>
  </w:style>
  <w:style w:type="table" w:customStyle="1" w:styleId="a1">
    <w:basedOn w:val="TableNormal"/>
    <w:tblPr>
      <w:tblStyleRowBandSize w:val="1"/>
      <w:tblStyleColBandSize w:val="1"/>
      <w:tblCellMar>
        <w:left w:w="123" w:type="dxa"/>
        <w:right w:w="108" w:type="dxa"/>
      </w:tblCellMar>
    </w:tblPr>
  </w:style>
  <w:style w:type="character" w:customStyle="1" w:styleId="fontstyle01">
    <w:name w:val="fontstyle01"/>
    <w:basedOn w:val="Fontepargpadro"/>
    <w:rsid w:val="004270B8"/>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ov.br/compras/pt-br/" TargetMode="External"/><Relationship Id="rId4" Type="http://schemas.microsoft.com/office/2007/relationships/stylesWithEffects" Target="stylesWithEffects.xml"/><Relationship Id="rId9" Type="http://schemas.openxmlformats.org/officeDocument/2006/relationships/hyperlink" Target="https://www.gov.br/compras/pt-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98kiaqk9+pvT1ytGRmspQXmqZg==">AMUW2mVtHVpjQqtZC97D75efE0hegTN7aj4OvaJXh3c0eJpXBixKr+CGMpE4QmmhHklf5DQ3gvULEe05UZZTY0cvS61Es2vbL4/Ufs0iS6zpYRj3utZ+ALcI9ehBrhsxEk9DSrRpRQ3nUlMflYpcuECeAyqlQZnB9ScAFft6K/l+4dBuZp2Z+3cU7qncPCBbrlapWIWLtaDPgcsYanzhPq8gfQc84yQJDXeCEH3tNj8hFpY8Ht1jzZnWYUTZLjHA9+imTJhj2MgV1DeLUTKwj5fgrWVNF6u9/pAAS5p+MIsqvS/OdfQwM2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18</Pages>
  <Words>9408</Words>
  <Characters>50807</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Manoel Paz e Silva Filho</dc:creator>
  <cp:lastModifiedBy>Carlos Gracindo Pereira Landivar</cp:lastModifiedBy>
  <cp:revision>9</cp:revision>
  <dcterms:created xsi:type="dcterms:W3CDTF">2022-06-07T13:31:00Z</dcterms:created>
  <dcterms:modified xsi:type="dcterms:W3CDTF">2022-06-23T14:50:00Z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